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23DE43">
      <w:pPr>
        <w:pStyle w:val="2"/>
        <w:spacing w:before="0" w:line="240" w:lineRule="auto"/>
        <w:ind w:right="144"/>
        <w:jc w:val="center"/>
        <w:rPr>
          <w:rFonts w:eastAsia="Arial" w:cstheme="minorHAnsi"/>
          <w:b/>
          <w:bCs/>
        </w:rPr>
      </w:pPr>
      <w:bookmarkStart w:id="0" w:name="_Hlk89705654"/>
      <w:bookmarkStart w:id="5" w:name="_GoBack"/>
      <w:bookmarkEnd w:id="5"/>
      <w:r>
        <w:rPr>
          <w:rFonts w:ascii="Calibri" w:hAnsi="Calibri" w:cs="Calibri"/>
          <w:b/>
          <w:bCs/>
        </w:rPr>
        <w:t xml:space="preserve">GF-NSFC Joint </w:t>
      </w:r>
      <w:r>
        <w:rPr>
          <w:rFonts w:hint="eastAsia" w:ascii="Calibri" w:hAnsi="Calibri" w:cs="Calibri"/>
          <w:b/>
          <w:bCs/>
          <w:lang w:eastAsia="zh-CN"/>
        </w:rPr>
        <w:t>Pr</w:t>
      </w:r>
      <w:r>
        <w:rPr>
          <w:rFonts w:ascii="Calibri" w:hAnsi="Calibri" w:cs="Calibri"/>
          <w:b/>
          <w:bCs/>
          <w:lang w:eastAsia="zh-CN"/>
        </w:rPr>
        <w:t xml:space="preserve">oject on </w:t>
      </w:r>
      <w:bookmarkEnd w:id="0"/>
      <w:r>
        <w:rPr>
          <w:rFonts w:hint="eastAsia" w:ascii="Calibri" w:hAnsi="Calibri" w:cs="Calibri"/>
          <w:b/>
          <w:bCs/>
          <w:lang w:eastAsia="zh-CN"/>
        </w:rPr>
        <w:t>Malaria Vector Control R&amp;D</w:t>
      </w:r>
    </w:p>
    <w:p w14:paraId="7C6521A0">
      <w:pPr>
        <w:spacing w:after="0" w:line="240" w:lineRule="auto"/>
        <w:ind w:right="144"/>
        <w:rPr>
          <w:rFonts w:cstheme="minorHAnsi"/>
          <w:b/>
        </w:rPr>
      </w:pPr>
      <w:r>
        <w:rPr>
          <w:rFonts w:eastAsia="Arial" w:cstheme="minorHAnsi"/>
          <w:b/>
          <w:bCs/>
        </w:rPr>
        <w:t xml:space="preserve">Full Proposal </w:t>
      </w:r>
    </w:p>
    <w:p w14:paraId="7C6521A2">
      <w:pPr>
        <w:spacing w:after="0" w:line="240" w:lineRule="auto"/>
        <w:ind w:right="144"/>
        <w:rPr>
          <w:rFonts w:eastAsia="Times New Roman" w:cstheme="minorHAnsi"/>
          <w:i/>
          <w:iCs/>
        </w:rPr>
      </w:pPr>
      <w:r>
        <w:rPr>
          <w:rFonts w:eastAsia="Times New Roman" w:cstheme="minorHAnsi"/>
          <w:i/>
          <w:iCs/>
        </w:rPr>
        <w:t xml:space="preserve">We appreciate your interest in submitting a proposal to the Gates Foundation. </w:t>
      </w:r>
    </w:p>
    <w:p w14:paraId="3E94BA36">
      <w:pPr>
        <w:spacing w:after="0" w:line="240" w:lineRule="auto"/>
        <w:ind w:right="144"/>
        <w:rPr>
          <w:rFonts w:eastAsia="Times New Roman" w:cstheme="minorHAnsi"/>
          <w:i/>
          <w:iCs/>
        </w:rPr>
      </w:pPr>
    </w:p>
    <w:p w14:paraId="2CBD735C">
      <w:pPr>
        <w:pStyle w:val="36"/>
        <w:numPr>
          <w:ilvl w:val="0"/>
          <w:numId w:val="2"/>
        </w:numPr>
        <w:pBdr>
          <w:top w:val="single" w:color="auto" w:sz="4" w:space="1"/>
          <w:left w:val="single" w:color="auto" w:sz="4" w:space="22"/>
          <w:bottom w:val="single" w:color="auto" w:sz="4" w:space="1"/>
          <w:right w:val="single" w:color="auto" w:sz="4" w:space="4"/>
        </w:pBdr>
        <w:spacing w:after="0"/>
        <w:ind w:right="144"/>
        <w:rPr>
          <w:rFonts w:ascii="Calibri" w:hAnsi="Calibri" w:cs="Calibri"/>
          <w:sz w:val="20"/>
          <w:szCs w:val="20"/>
        </w:rPr>
      </w:pPr>
      <w:r>
        <w:rPr>
          <w:rFonts w:ascii="Calibri" w:hAnsi="Calibri" w:cs="Calibri"/>
          <w:sz w:val="20"/>
          <w:szCs w:val="20"/>
        </w:rPr>
        <w:t>This is a proposal shaping document and not a commitment by the foundation to fund the work.</w:t>
      </w:r>
    </w:p>
    <w:p w14:paraId="7AFF4864">
      <w:pPr>
        <w:pStyle w:val="36"/>
        <w:numPr>
          <w:ilvl w:val="0"/>
          <w:numId w:val="2"/>
        </w:numPr>
        <w:pBdr>
          <w:top w:val="single" w:color="auto" w:sz="4" w:space="1"/>
          <w:left w:val="single" w:color="auto" w:sz="4" w:space="22"/>
          <w:bottom w:val="single" w:color="auto" w:sz="4" w:space="1"/>
          <w:right w:val="single" w:color="auto" w:sz="4" w:space="4"/>
        </w:pBdr>
        <w:spacing w:after="0"/>
        <w:ind w:right="144"/>
        <w:rPr>
          <w:rFonts w:ascii="Calibri" w:hAnsi="Calibri" w:cs="Calibri"/>
          <w:sz w:val="20"/>
          <w:szCs w:val="20"/>
          <w:lang w:eastAsia="zh-CN"/>
        </w:rPr>
      </w:pPr>
      <w:r>
        <w:rPr>
          <w:rFonts w:hint="eastAsia" w:ascii="Calibri" w:hAnsi="Calibri" w:cs="Calibri"/>
          <w:sz w:val="20"/>
          <w:szCs w:val="20"/>
        </w:rPr>
        <w:t xml:space="preserve">the proposal must be submitted in English, one and only </w:t>
      </w:r>
      <w:r>
        <w:rPr>
          <w:rFonts w:ascii="Calibri" w:hAnsi="Calibri" w:cs="Calibri"/>
          <w:sz w:val="20"/>
          <w:szCs w:val="20"/>
        </w:rPr>
        <w:t xml:space="preserve">one </w:t>
      </w:r>
      <w:r>
        <w:rPr>
          <w:rFonts w:hint="eastAsia" w:ascii="Calibri" w:hAnsi="Calibri" w:cs="Calibri"/>
          <w:sz w:val="20"/>
          <w:szCs w:val="20"/>
        </w:rPr>
        <w:t xml:space="preserve">application is accepted from one principal investigator from China (lead investigator). </w:t>
      </w:r>
      <w:r>
        <w:rPr>
          <w:rFonts w:hint="eastAsia" w:ascii="微软雅黑" w:hAnsi="微软雅黑" w:eastAsia="微软雅黑" w:cs="微软雅黑"/>
          <w:b/>
          <w:bCs/>
          <w:sz w:val="20"/>
          <w:szCs w:val="20"/>
          <w:lang w:eastAsia="zh-CN"/>
        </w:rPr>
        <w:t>（</w:t>
      </w:r>
      <w:r>
        <w:rPr>
          <w:rFonts w:eastAsia="微软雅黑" w:asciiTheme="minorHAnsi" w:hAnsiTheme="minorHAnsi" w:cstheme="minorHAnsi"/>
          <w:b/>
          <w:bCs/>
          <w:szCs w:val="22"/>
          <w:u w:val="single"/>
          <w:lang w:eastAsia="zh-CN"/>
        </w:rPr>
        <w:t>中方申请人须同时分别向国家自然科学基金委（NSFC）和盖茨基金会</w:t>
      </w:r>
      <w:r>
        <w:rPr>
          <w:rFonts w:hint="eastAsia" w:eastAsia="微软雅黑" w:asciiTheme="minorHAnsi" w:hAnsiTheme="minorHAnsi" w:cstheme="minorHAnsi"/>
          <w:b/>
          <w:bCs/>
          <w:szCs w:val="22"/>
          <w:u w:val="single"/>
          <w:lang w:eastAsia="zh-CN"/>
        </w:rPr>
        <w:t xml:space="preserve"> </w:t>
      </w:r>
      <w:r>
        <w:rPr>
          <w:rFonts w:eastAsia="微软雅黑" w:asciiTheme="minorHAnsi" w:hAnsiTheme="minorHAnsi" w:cstheme="minorHAnsi"/>
          <w:b/>
          <w:bCs/>
          <w:szCs w:val="22"/>
          <w:u w:val="single"/>
          <w:lang w:eastAsia="zh-CN"/>
        </w:rPr>
        <w:t>(GF)</w:t>
      </w:r>
      <w:r>
        <w:rPr>
          <w:rFonts w:hint="eastAsia" w:eastAsia="微软雅黑" w:asciiTheme="minorHAnsi" w:hAnsiTheme="minorHAnsi" w:cstheme="minorHAnsi"/>
          <w:b/>
          <w:bCs/>
          <w:szCs w:val="22"/>
          <w:u w:val="single"/>
          <w:lang w:eastAsia="zh-CN"/>
        </w:rPr>
        <w:t xml:space="preserve"> </w:t>
      </w:r>
      <w:r>
        <w:rPr>
          <w:rFonts w:eastAsia="微软雅黑" w:asciiTheme="minorHAnsi" w:hAnsiTheme="minorHAnsi" w:cstheme="minorHAnsi"/>
          <w:b/>
          <w:bCs/>
          <w:szCs w:val="22"/>
          <w:u w:val="single"/>
          <w:lang w:eastAsia="zh-CN"/>
        </w:rPr>
        <w:t>递交申请</w:t>
      </w:r>
      <w:r>
        <w:rPr>
          <w:rFonts w:eastAsia="微软雅黑" w:asciiTheme="minorHAnsi" w:hAnsiTheme="minorHAnsi" w:cstheme="minorHAnsi"/>
          <w:b/>
          <w:bCs/>
          <w:szCs w:val="22"/>
          <w:lang w:eastAsia="zh-CN"/>
        </w:rPr>
        <w:t>；外方合作伙伴无需向</w:t>
      </w:r>
      <w:r>
        <w:rPr>
          <w:rFonts w:asciiTheme="minorHAnsi" w:hAnsiTheme="minorHAnsi" w:cstheme="minorHAnsi"/>
          <w:b/>
          <w:bCs/>
          <w:szCs w:val="22"/>
          <w:lang w:eastAsia="zh-CN"/>
        </w:rPr>
        <w:t>NSFC</w:t>
      </w:r>
      <w:r>
        <w:rPr>
          <w:rFonts w:eastAsia="微软雅黑" w:asciiTheme="minorHAnsi" w:hAnsiTheme="minorHAnsi" w:cstheme="minorHAnsi"/>
          <w:b/>
          <w:bCs/>
          <w:szCs w:val="22"/>
          <w:lang w:eastAsia="zh-CN"/>
        </w:rPr>
        <w:t>和</w:t>
      </w:r>
      <w:r>
        <w:rPr>
          <w:rFonts w:asciiTheme="minorHAnsi" w:hAnsiTheme="minorHAnsi" w:cstheme="minorHAnsi"/>
          <w:b/>
          <w:bCs/>
          <w:szCs w:val="22"/>
          <w:lang w:eastAsia="zh-CN"/>
        </w:rPr>
        <w:t>GF</w:t>
      </w:r>
      <w:r>
        <w:rPr>
          <w:rFonts w:eastAsia="微软雅黑" w:asciiTheme="minorHAnsi" w:hAnsiTheme="minorHAnsi" w:cstheme="minorHAnsi"/>
          <w:b/>
          <w:bCs/>
          <w:szCs w:val="22"/>
          <w:lang w:eastAsia="zh-CN"/>
        </w:rPr>
        <w:t>递交申请。</w:t>
      </w:r>
      <w:r>
        <w:rPr>
          <w:rFonts w:eastAsia="微软雅黑" w:asciiTheme="minorHAnsi" w:hAnsiTheme="minorHAnsi" w:cstheme="minorHAnsi"/>
          <w:b/>
          <w:bCs/>
          <w:szCs w:val="22"/>
          <w:u w:val="single"/>
          <w:lang w:eastAsia="zh-CN"/>
        </w:rPr>
        <w:t>仅向单方机构递交的项目申请将不予受理。</w:t>
      </w:r>
      <w:r>
        <w:rPr>
          <w:rFonts w:eastAsia="微软雅黑" w:asciiTheme="minorHAnsi" w:hAnsiTheme="minorHAnsi" w:cstheme="minorHAnsi"/>
          <w:b/>
          <w:bCs/>
          <w:szCs w:val="22"/>
          <w:lang w:eastAsia="zh-CN"/>
        </w:rPr>
        <w:t>）</w:t>
      </w:r>
    </w:p>
    <w:p w14:paraId="2E891878">
      <w:pPr>
        <w:pStyle w:val="36"/>
        <w:numPr>
          <w:ilvl w:val="0"/>
          <w:numId w:val="2"/>
        </w:numPr>
        <w:pBdr>
          <w:top w:val="single" w:color="auto" w:sz="4" w:space="1"/>
          <w:left w:val="single" w:color="auto" w:sz="4" w:space="22"/>
          <w:bottom w:val="single" w:color="auto" w:sz="4" w:space="1"/>
          <w:right w:val="single" w:color="auto" w:sz="4" w:space="4"/>
        </w:pBdr>
        <w:spacing w:after="0"/>
        <w:ind w:right="144"/>
        <w:rPr>
          <w:rFonts w:ascii="Calibri" w:hAnsi="Calibri" w:cs="Calibri"/>
          <w:sz w:val="20"/>
          <w:szCs w:val="20"/>
        </w:rPr>
      </w:pPr>
      <w:r>
        <w:rPr>
          <w:rFonts w:ascii="Calibri" w:hAnsi="Calibri" w:cs="Calibri"/>
          <w:sz w:val="20"/>
          <w:szCs w:val="20"/>
        </w:rPr>
        <w:t>The softcopy (e.g. saved to a disk or USB device) of the this proposal alone with one printed copy must be submitted via physical mail by</w:t>
      </w:r>
      <w:r>
        <w:rPr>
          <w:rFonts w:hint="eastAsia" w:ascii="Calibri" w:hAnsi="Calibri" w:cs="Calibri" w:eastAsiaTheme="minorEastAsia"/>
          <w:sz w:val="20"/>
          <w:szCs w:val="20"/>
          <w:lang w:eastAsia="zh-CN"/>
        </w:rPr>
        <w:t xml:space="preserve"> EMS </w:t>
      </w:r>
      <w:r>
        <w:rPr>
          <w:rFonts w:ascii="Calibri" w:hAnsi="Calibri" w:cs="Calibri"/>
          <w:sz w:val="20"/>
          <w:szCs w:val="20"/>
        </w:rPr>
        <w:t>Express  (post-marketed date) to the Gates Foundation</w:t>
      </w:r>
      <w:r>
        <w:rPr>
          <w:rFonts w:ascii="Calibri" w:hAnsi="Calibri" w:cs="Calibri" w:eastAsiaTheme="minorEastAsia"/>
          <w:sz w:val="20"/>
          <w:szCs w:val="20"/>
          <w:lang w:eastAsia="zh-CN"/>
        </w:rPr>
        <w:t xml:space="preserve"> Beijing Office</w:t>
      </w:r>
      <w:r>
        <w:rPr>
          <w:rFonts w:hint="eastAsia" w:ascii="Calibri" w:hAnsi="Calibri" w:cs="Calibri" w:eastAsiaTheme="minorEastAsia"/>
          <w:sz w:val="20"/>
          <w:szCs w:val="20"/>
          <w:lang w:eastAsia="zh-CN"/>
        </w:rPr>
        <w:t xml:space="preserve">  </w:t>
      </w:r>
      <w:r>
        <w:rPr>
          <w:rFonts w:eastAsia="微软雅黑" w:asciiTheme="minorHAnsi" w:hAnsiTheme="minorHAnsi" w:cstheme="minorHAnsi"/>
          <w:color w:val="000000" w:themeColor="text1"/>
          <w:szCs w:val="22"/>
          <w14:textFill>
            <w14:solidFill>
              <w14:schemeClr w14:val="tx1"/>
            </w14:solidFill>
          </w14:textFill>
        </w:rPr>
        <w:t>（</w:t>
      </w:r>
      <w:r>
        <w:rPr>
          <w:rFonts w:hint="eastAsia" w:eastAsia="微软雅黑" w:asciiTheme="minorHAnsi" w:hAnsiTheme="minorHAnsi" w:cstheme="minorHAnsi"/>
          <w:b/>
          <w:bCs/>
          <w:color w:val="000000" w:themeColor="text1"/>
          <w:szCs w:val="22"/>
          <w14:textFill>
            <w14:solidFill>
              <w14:schemeClr w14:val="tx1"/>
            </w14:solidFill>
          </w14:textFill>
        </w:rPr>
        <w:t>中方申请人需将打印版和U盘存储版盖茨基金会英文申请书通过中国邮政EMS快递在规定截止日期前寄至：北京市三里河路54号中国科学技术交流中心美大处吴文谦收，手机15802728269；座机68511864，邮编：100045；并同时将英文申请书及快递发出凭证信息通过电子邮件发至meida@cstec.org.cn 和 nsfc-gf.cfp2025@gatesfoundation.org , 电子邮件主题请按 “申请人单位+姓名+申请课题名称” 填写）</w:t>
      </w:r>
      <w:r>
        <w:rPr>
          <w:rFonts w:eastAsia="微软雅黑" w:asciiTheme="minorHAnsi" w:hAnsiTheme="minorHAnsi" w:cstheme="minorHAnsi"/>
          <w:b/>
          <w:bCs/>
          <w:color w:val="000000" w:themeColor="text1"/>
          <w:szCs w:val="22"/>
          <w14:textFill>
            <w14:solidFill>
              <w14:schemeClr w14:val="tx1"/>
            </w14:solidFill>
          </w14:textFill>
        </w:rPr>
        <w:t>）</w:t>
      </w:r>
      <w:r>
        <w:rPr>
          <w:rFonts w:ascii="Calibri" w:hAnsi="Calibri" w:cs="Calibri"/>
          <w:color w:val="000000" w:themeColor="text1"/>
          <w:sz w:val="20"/>
          <w:szCs w:val="20"/>
          <w14:textFill>
            <w14:solidFill>
              <w14:schemeClr w14:val="tx1"/>
            </w14:solidFill>
          </w14:textFill>
        </w:rPr>
        <w:t xml:space="preserve"> by the application deadline specified in the joint GF-NSFC Call for Proposal </w:t>
      </w:r>
      <w:r>
        <w:rPr>
          <w:rFonts w:ascii="Calibri" w:hAnsi="Calibri" w:cs="Calibri"/>
          <w:sz w:val="20"/>
          <w:szCs w:val="20"/>
        </w:rPr>
        <w:t>in Chinese. Applications post-marked after the deadline date will not be accepted.</w:t>
      </w:r>
    </w:p>
    <w:p w14:paraId="5C7C7C0C">
      <w:pPr>
        <w:pStyle w:val="36"/>
        <w:numPr>
          <w:ilvl w:val="0"/>
          <w:numId w:val="2"/>
        </w:numPr>
        <w:pBdr>
          <w:top w:val="single" w:color="auto" w:sz="4" w:space="1"/>
          <w:left w:val="single" w:color="auto" w:sz="4" w:space="22"/>
          <w:bottom w:val="single" w:color="auto" w:sz="4" w:space="1"/>
          <w:right w:val="single" w:color="auto" w:sz="4" w:space="4"/>
        </w:pBdr>
        <w:spacing w:after="0"/>
        <w:ind w:right="144"/>
        <w:rPr>
          <w:rFonts w:ascii="Calibri" w:hAnsi="Calibri" w:cs="Calibri"/>
          <w:sz w:val="20"/>
          <w:szCs w:val="20"/>
        </w:rPr>
      </w:pPr>
      <w:r>
        <w:rPr>
          <w:rFonts w:ascii="Calibri" w:hAnsi="Calibri" w:cs="Calibri"/>
          <w:sz w:val="20"/>
          <w:szCs w:val="20"/>
        </w:rPr>
        <w:t>Applications must be submitted following the word limits as instructed and following all instructions in the GF-NSFC Call for Proposals. Applications which fail to comply with any of the guidance supplied will be rejected.</w:t>
      </w:r>
    </w:p>
    <w:p w14:paraId="2EAFCB00">
      <w:pPr>
        <w:pStyle w:val="36"/>
        <w:numPr>
          <w:ilvl w:val="0"/>
          <w:numId w:val="2"/>
        </w:numPr>
        <w:pBdr>
          <w:top w:val="single" w:color="auto" w:sz="4" w:space="1"/>
          <w:left w:val="single" w:color="auto" w:sz="4" w:space="22"/>
          <w:bottom w:val="single" w:color="auto" w:sz="4" w:space="1"/>
          <w:right w:val="single" w:color="auto" w:sz="4" w:space="4"/>
        </w:pBdr>
        <w:spacing w:after="0"/>
        <w:ind w:right="144"/>
        <w:rPr>
          <w:rFonts w:ascii="Calibri" w:hAnsi="Calibri" w:cs="Calibri"/>
          <w:sz w:val="20"/>
          <w:szCs w:val="20"/>
        </w:rPr>
      </w:pPr>
      <w:r>
        <w:rPr>
          <w:rFonts w:ascii="Calibri" w:hAnsi="Calibri" w:cs="Calibri"/>
          <w:sz w:val="20"/>
          <w:szCs w:val="20"/>
        </w:rPr>
        <w:t>Applicants must fill in all sections of the Proposal.</w:t>
      </w:r>
    </w:p>
    <w:p w14:paraId="290B9565">
      <w:pPr>
        <w:pStyle w:val="36"/>
        <w:numPr>
          <w:ilvl w:val="0"/>
          <w:numId w:val="2"/>
        </w:numPr>
        <w:pBdr>
          <w:top w:val="single" w:color="auto" w:sz="4" w:space="1"/>
          <w:left w:val="single" w:color="auto" w:sz="4" w:space="22"/>
          <w:bottom w:val="single" w:color="auto" w:sz="4" w:space="1"/>
          <w:right w:val="single" w:color="auto" w:sz="4" w:space="4"/>
        </w:pBdr>
        <w:spacing w:after="0"/>
        <w:ind w:right="144"/>
        <w:rPr>
          <w:rFonts w:ascii="Calibri" w:hAnsi="Calibri" w:cs="Calibri"/>
          <w:sz w:val="20"/>
          <w:szCs w:val="20"/>
        </w:rPr>
      </w:pPr>
      <w:r>
        <w:rPr>
          <w:rFonts w:ascii="Calibri" w:hAnsi="Calibri" w:cs="Calibri"/>
          <w:sz w:val="20"/>
          <w:szCs w:val="20"/>
        </w:rPr>
        <w:t xml:space="preserve">Applications must be submitted as a word document. </w:t>
      </w:r>
    </w:p>
    <w:p w14:paraId="5DC394EF">
      <w:pPr>
        <w:pStyle w:val="36"/>
        <w:numPr>
          <w:ilvl w:val="0"/>
          <w:numId w:val="2"/>
        </w:numPr>
        <w:pBdr>
          <w:top w:val="single" w:color="auto" w:sz="4" w:space="1"/>
          <w:left w:val="single" w:color="auto" w:sz="4" w:space="22"/>
          <w:bottom w:val="single" w:color="auto" w:sz="4" w:space="1"/>
          <w:right w:val="single" w:color="auto" w:sz="4" w:space="4"/>
        </w:pBdr>
        <w:spacing w:after="0"/>
        <w:ind w:right="144"/>
        <w:rPr>
          <w:rFonts w:ascii="微软雅黑" w:hAnsi="微软雅黑" w:eastAsia="微软雅黑" w:cs="微软雅黑"/>
          <w:b/>
          <w:bCs/>
          <w:sz w:val="20"/>
          <w:szCs w:val="20"/>
          <w:lang w:eastAsia="zh-CN"/>
        </w:rPr>
      </w:pPr>
      <w:r>
        <w:rPr>
          <w:rFonts w:hint="eastAsia" w:ascii="Calibri" w:hAnsi="Calibri" w:cs="Calibri"/>
          <w:sz w:val="20"/>
          <w:szCs w:val="20"/>
        </w:rPr>
        <w:t xml:space="preserve">We would like to remind you that, besides the application to GF, you also need to submit the proposal to NSFC through NSFC online system. We strongly recommend that you submit both applications at least one day ahead of the deadline.  </w:t>
      </w:r>
      <w:r>
        <w:rPr>
          <w:rFonts w:hint="eastAsia" w:ascii="Calibri" w:hAnsi="Calibri" w:cs="Calibri" w:eastAsiaTheme="minorEastAsia"/>
          <w:sz w:val="20"/>
          <w:szCs w:val="20"/>
          <w:lang w:eastAsia="zh-CN"/>
        </w:rPr>
        <w:t xml:space="preserve">        </w:t>
      </w:r>
      <w:r>
        <w:rPr>
          <w:rFonts w:asciiTheme="minorHAnsi" w:hAnsiTheme="minorHAnsi" w:cstheme="minorHAnsi"/>
          <w:b/>
          <w:bCs/>
          <w:szCs w:val="22"/>
        </w:rPr>
        <w:t>(</w:t>
      </w:r>
      <w:r>
        <w:rPr>
          <w:rFonts w:eastAsia="微软雅黑" w:asciiTheme="minorHAnsi" w:hAnsiTheme="minorHAnsi" w:cstheme="minorHAnsi"/>
          <w:b/>
          <w:bCs/>
          <w:szCs w:val="22"/>
        </w:rPr>
        <w:t>重要提醒：除快递英文版申请外，申请人须登录国家自然科学基金网络信息系统（</w:t>
      </w:r>
      <w:r>
        <w:rPr>
          <w:rFonts w:asciiTheme="minorHAnsi" w:hAnsiTheme="minorHAnsi" w:cstheme="minorHAnsi"/>
          <w:b/>
          <w:bCs/>
          <w:szCs w:val="22"/>
        </w:rPr>
        <w:t>https://grants.nsfc.gov.cn/egrantweb/</w:t>
      </w:r>
      <w:r>
        <w:rPr>
          <w:rFonts w:eastAsia="微软雅黑" w:asciiTheme="minorHAnsi" w:hAnsiTheme="minorHAnsi" w:cstheme="minorHAnsi"/>
          <w:b/>
          <w:bCs/>
          <w:szCs w:val="22"/>
        </w:rPr>
        <w:t>），按照撰写提纲及相关要求撰写《国家自然科学基金国际（地区）合作与交流项目申请书》。</w:t>
      </w:r>
      <w:r>
        <w:rPr>
          <w:rFonts w:eastAsia="微软雅黑" w:asciiTheme="minorHAnsi" w:hAnsiTheme="minorHAnsi" w:cstheme="minorHAnsi"/>
          <w:b/>
          <w:bCs/>
          <w:szCs w:val="22"/>
          <w:u w:val="single"/>
          <w:lang w:eastAsia="zh-CN"/>
        </w:rPr>
        <w:t>我们强烈建议您在申请截止日之前一天提交全部申请</w:t>
      </w:r>
      <w:r>
        <w:rPr>
          <w:rFonts w:eastAsia="微软雅黑" w:asciiTheme="minorHAnsi" w:hAnsiTheme="minorHAnsi" w:cstheme="minorHAnsi"/>
          <w:b/>
          <w:bCs/>
          <w:szCs w:val="22"/>
          <w:lang w:eastAsia="zh-CN"/>
        </w:rPr>
        <w:t>。</w:t>
      </w:r>
      <w:r>
        <w:rPr>
          <w:rFonts w:eastAsia="微软雅黑" w:asciiTheme="minorHAnsi" w:hAnsiTheme="minorHAnsi" w:cstheme="minorHAnsi"/>
          <w:b/>
          <w:bCs/>
          <w:szCs w:val="22"/>
        </w:rPr>
        <w:t>）</w:t>
      </w:r>
    </w:p>
    <w:p w14:paraId="3C06BF55">
      <w:pPr>
        <w:spacing w:after="0" w:line="240" w:lineRule="auto"/>
        <w:ind w:right="144"/>
        <w:rPr>
          <w:lang w:eastAsia="zh-CN"/>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0"/>
      </w:tblGrid>
      <w:tr w14:paraId="5BAE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0" w:type="dxa"/>
            <w:tcBorders>
              <w:top w:val="single" w:color="auto" w:sz="4" w:space="0"/>
              <w:left w:val="nil"/>
              <w:bottom w:val="single" w:color="auto" w:sz="4" w:space="0"/>
              <w:right w:val="nil"/>
            </w:tcBorders>
          </w:tcPr>
          <w:p w14:paraId="684C8C45">
            <w:pPr>
              <w:spacing w:after="0" w:line="240" w:lineRule="auto"/>
              <w:ind w:left="-72" w:right="144"/>
              <w:rPr>
                <w:rFonts w:cstheme="minorHAnsi"/>
                <w:b/>
                <w:bCs/>
              </w:rPr>
            </w:pPr>
            <w:r>
              <w:rPr>
                <w:rFonts w:cstheme="minorHAnsi"/>
                <w:b/>
                <w:bCs/>
              </w:rPr>
              <w:t>SECTION A – INVESTMENT Essential Information (Chinese Investigator to Complete)</w:t>
            </w:r>
          </w:p>
        </w:tc>
      </w:tr>
    </w:tbl>
    <w:p w14:paraId="679871AB">
      <w:pPr>
        <w:spacing w:after="0" w:line="240" w:lineRule="auto"/>
        <w:ind w:right="144"/>
        <w:rPr>
          <w:rFonts w:cs="Calibri"/>
          <w:b/>
        </w:rPr>
      </w:pPr>
      <w:r>
        <w:rPr>
          <w:rFonts w:cs="Calibri"/>
          <w:b/>
        </w:rPr>
        <w:t>GENERAL INFORMATION</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9"/>
        <w:gridCol w:w="998"/>
        <w:gridCol w:w="1767"/>
        <w:gridCol w:w="2695"/>
        <w:gridCol w:w="3287"/>
      </w:tblGrid>
      <w:tr w14:paraId="62EB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C6D9F1"/>
          </w:tcPr>
          <w:p w14:paraId="5E4D9F76">
            <w:pPr>
              <w:keepNext/>
              <w:spacing w:after="0" w:line="240" w:lineRule="auto"/>
              <w:ind w:right="144"/>
              <w:rPr>
                <w:rFonts w:cs="Calibri"/>
                <w:b/>
              </w:rPr>
            </w:pPr>
            <w:r>
              <w:rPr>
                <w:rFonts w:cs="Calibri"/>
                <w:b/>
              </w:rPr>
              <w:t xml:space="preserve">Chinese Investigators </w:t>
            </w:r>
            <w:r>
              <w:rPr>
                <w:rFonts w:cs="Calibri"/>
              </w:rPr>
              <w:t>(please delete or add more rows as needed)</w:t>
            </w:r>
          </w:p>
        </w:tc>
      </w:tr>
      <w:tr w14:paraId="48445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pct"/>
            <w:shd w:val="clear" w:color="auto" w:fill="C6D9F1"/>
          </w:tcPr>
          <w:p w14:paraId="78D26444">
            <w:pPr>
              <w:keepNext/>
              <w:spacing w:after="0" w:line="240" w:lineRule="auto"/>
              <w:ind w:right="144"/>
              <w:rPr>
                <w:rFonts w:cs="Calibri"/>
              </w:rPr>
            </w:pPr>
            <w:r>
              <w:rPr>
                <w:rFonts w:cs="Calibri"/>
                <w:b/>
              </w:rPr>
              <w:t xml:space="preserve">Role: </w:t>
            </w:r>
            <w:r>
              <w:rPr>
                <w:rFonts w:cs="Calibri"/>
              </w:rPr>
              <w:t>(PI, Co</w:t>
            </w:r>
            <w:r>
              <w:rPr>
                <w:rFonts w:hint="eastAsia" w:cs="Calibri"/>
                <w:lang w:eastAsia="zh-CN"/>
              </w:rPr>
              <w:t>-P</w:t>
            </w:r>
            <w:r>
              <w:rPr>
                <w:rFonts w:cs="Calibri"/>
              </w:rPr>
              <w:t>I, etc.)</w:t>
            </w:r>
          </w:p>
        </w:tc>
        <w:tc>
          <w:tcPr>
            <w:tcW w:w="453" w:type="pct"/>
            <w:shd w:val="clear" w:color="auto" w:fill="C6D9F1"/>
          </w:tcPr>
          <w:p w14:paraId="3A5D80B6">
            <w:pPr>
              <w:keepNext/>
              <w:spacing w:after="0" w:line="240" w:lineRule="auto"/>
              <w:ind w:right="144"/>
              <w:rPr>
                <w:rFonts w:cs="Calibri"/>
                <w:b/>
              </w:rPr>
            </w:pPr>
            <w:r>
              <w:rPr>
                <w:rFonts w:cs="Calibri"/>
                <w:b/>
              </w:rPr>
              <w:t>Name:</w:t>
            </w:r>
          </w:p>
        </w:tc>
        <w:tc>
          <w:tcPr>
            <w:tcW w:w="802" w:type="pct"/>
            <w:shd w:val="clear" w:color="auto" w:fill="C6D9F1"/>
          </w:tcPr>
          <w:p w14:paraId="301F9146">
            <w:pPr>
              <w:keepNext/>
              <w:spacing w:after="0" w:line="240" w:lineRule="auto"/>
              <w:ind w:right="144"/>
              <w:rPr>
                <w:rFonts w:cs="Calibri"/>
                <w:b/>
              </w:rPr>
            </w:pPr>
            <w:r>
              <w:rPr>
                <w:rFonts w:cs="Calibri"/>
                <w:b/>
              </w:rPr>
              <w:t>Organization:</w:t>
            </w:r>
          </w:p>
        </w:tc>
        <w:tc>
          <w:tcPr>
            <w:tcW w:w="1223" w:type="pct"/>
            <w:shd w:val="clear" w:color="auto" w:fill="C6D9F1"/>
          </w:tcPr>
          <w:p w14:paraId="4614E506">
            <w:pPr>
              <w:keepNext/>
              <w:spacing w:after="0" w:line="240" w:lineRule="auto"/>
              <w:ind w:right="144"/>
              <w:rPr>
                <w:rFonts w:cs="Calibri"/>
                <w:b/>
              </w:rPr>
            </w:pPr>
            <w:r>
              <w:rPr>
                <w:rFonts w:cs="Calibri"/>
                <w:b/>
              </w:rPr>
              <w:t>Division/Department:</w:t>
            </w:r>
          </w:p>
        </w:tc>
        <w:tc>
          <w:tcPr>
            <w:tcW w:w="1492" w:type="pct"/>
            <w:shd w:val="clear" w:color="auto" w:fill="C6D9F1"/>
          </w:tcPr>
          <w:p w14:paraId="2AA2F2AB">
            <w:pPr>
              <w:keepNext/>
              <w:spacing w:after="0" w:line="240" w:lineRule="auto"/>
              <w:ind w:right="144"/>
              <w:rPr>
                <w:rFonts w:cs="Calibri"/>
                <w:b/>
                <w:lang w:eastAsia="zh-CN"/>
              </w:rPr>
            </w:pPr>
            <w:r>
              <w:rPr>
                <w:rFonts w:hint="eastAsia" w:cs="Calibri"/>
                <w:b/>
                <w:lang w:eastAsia="zh-CN"/>
              </w:rPr>
              <w:t>Cell Phone and Email</w:t>
            </w:r>
          </w:p>
        </w:tc>
      </w:tr>
      <w:tr w14:paraId="03BF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pct"/>
          </w:tcPr>
          <w:p w14:paraId="017C9466">
            <w:pPr>
              <w:keepNext/>
              <w:spacing w:after="0" w:line="240" w:lineRule="auto"/>
              <w:ind w:right="144"/>
              <w:rPr>
                <w:rFonts w:cs="Calibri"/>
                <w:b/>
              </w:rPr>
            </w:pPr>
          </w:p>
        </w:tc>
        <w:tc>
          <w:tcPr>
            <w:tcW w:w="453" w:type="pct"/>
            <w:shd w:val="clear" w:color="auto" w:fill="auto"/>
          </w:tcPr>
          <w:p w14:paraId="2355BD29">
            <w:pPr>
              <w:keepNext/>
              <w:spacing w:after="0" w:line="240" w:lineRule="auto"/>
              <w:ind w:right="144"/>
              <w:rPr>
                <w:rFonts w:cs="Calibri"/>
                <w:b/>
              </w:rPr>
            </w:pPr>
          </w:p>
        </w:tc>
        <w:tc>
          <w:tcPr>
            <w:tcW w:w="802" w:type="pct"/>
            <w:shd w:val="clear" w:color="auto" w:fill="auto"/>
          </w:tcPr>
          <w:p w14:paraId="2B4698E7">
            <w:pPr>
              <w:keepNext/>
              <w:spacing w:after="0" w:line="240" w:lineRule="auto"/>
              <w:ind w:right="144"/>
              <w:rPr>
                <w:rFonts w:cs="Calibri"/>
                <w:b/>
              </w:rPr>
            </w:pPr>
          </w:p>
        </w:tc>
        <w:tc>
          <w:tcPr>
            <w:tcW w:w="1223" w:type="pct"/>
            <w:shd w:val="clear" w:color="auto" w:fill="auto"/>
          </w:tcPr>
          <w:p w14:paraId="4E648E14">
            <w:pPr>
              <w:keepNext/>
              <w:spacing w:after="0" w:line="240" w:lineRule="auto"/>
              <w:ind w:right="144"/>
              <w:rPr>
                <w:rFonts w:cs="Calibri"/>
                <w:b/>
              </w:rPr>
            </w:pPr>
          </w:p>
        </w:tc>
        <w:tc>
          <w:tcPr>
            <w:tcW w:w="1492" w:type="pct"/>
          </w:tcPr>
          <w:p w14:paraId="02AB6149">
            <w:pPr>
              <w:keepNext/>
              <w:spacing w:after="0" w:line="240" w:lineRule="auto"/>
              <w:ind w:right="144"/>
              <w:rPr>
                <w:rFonts w:cs="Calibri"/>
                <w:b/>
              </w:rPr>
            </w:pPr>
          </w:p>
        </w:tc>
      </w:tr>
      <w:tr w14:paraId="62A5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pct"/>
          </w:tcPr>
          <w:p w14:paraId="71DCD72E">
            <w:pPr>
              <w:keepNext/>
              <w:spacing w:after="0" w:line="240" w:lineRule="auto"/>
              <w:ind w:right="144"/>
              <w:rPr>
                <w:rFonts w:cs="Calibri"/>
                <w:b/>
              </w:rPr>
            </w:pPr>
          </w:p>
        </w:tc>
        <w:tc>
          <w:tcPr>
            <w:tcW w:w="453" w:type="pct"/>
            <w:shd w:val="clear" w:color="auto" w:fill="auto"/>
          </w:tcPr>
          <w:p w14:paraId="4037FDA8">
            <w:pPr>
              <w:keepNext/>
              <w:spacing w:after="0" w:line="240" w:lineRule="auto"/>
              <w:ind w:right="144"/>
              <w:rPr>
                <w:rFonts w:cs="Calibri"/>
                <w:b/>
              </w:rPr>
            </w:pPr>
          </w:p>
        </w:tc>
        <w:tc>
          <w:tcPr>
            <w:tcW w:w="802" w:type="pct"/>
            <w:shd w:val="clear" w:color="auto" w:fill="auto"/>
          </w:tcPr>
          <w:p w14:paraId="3F0AED9F">
            <w:pPr>
              <w:keepNext/>
              <w:spacing w:after="0" w:line="240" w:lineRule="auto"/>
              <w:ind w:right="144"/>
              <w:rPr>
                <w:rFonts w:cs="Calibri"/>
                <w:b/>
              </w:rPr>
            </w:pPr>
          </w:p>
        </w:tc>
        <w:tc>
          <w:tcPr>
            <w:tcW w:w="1223" w:type="pct"/>
            <w:shd w:val="clear" w:color="auto" w:fill="auto"/>
          </w:tcPr>
          <w:p w14:paraId="214AD391">
            <w:pPr>
              <w:keepNext/>
              <w:spacing w:after="0" w:line="240" w:lineRule="auto"/>
              <w:ind w:right="144"/>
              <w:rPr>
                <w:rFonts w:cs="Calibri"/>
                <w:b/>
              </w:rPr>
            </w:pPr>
          </w:p>
        </w:tc>
        <w:tc>
          <w:tcPr>
            <w:tcW w:w="1492" w:type="pct"/>
          </w:tcPr>
          <w:p w14:paraId="4EA31D3E">
            <w:pPr>
              <w:keepNext/>
              <w:spacing w:after="0" w:line="240" w:lineRule="auto"/>
              <w:ind w:right="144"/>
              <w:rPr>
                <w:rFonts w:cs="Calibri"/>
                <w:b/>
              </w:rPr>
            </w:pPr>
          </w:p>
        </w:tc>
      </w:tr>
    </w:tbl>
    <w:p w14:paraId="5F21664B">
      <w:pPr>
        <w:spacing w:after="0" w:line="240" w:lineRule="auto"/>
        <w:ind w:right="144"/>
        <w:rPr>
          <w:rFonts w:cs="Calibri"/>
          <w:b/>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34"/>
        <w:gridCol w:w="7182"/>
      </w:tblGrid>
      <w:tr w14:paraId="0FAF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740" w:type="pct"/>
            <w:shd w:val="clear" w:color="auto" w:fill="B8CCE4"/>
          </w:tcPr>
          <w:p w14:paraId="1F5E3652">
            <w:pPr>
              <w:spacing w:after="0" w:line="240" w:lineRule="auto"/>
              <w:ind w:right="52"/>
              <w:rPr>
                <w:rFonts w:cs="Calibri"/>
                <w:b/>
              </w:rPr>
            </w:pPr>
            <w:r>
              <w:rPr>
                <w:rFonts w:cs="Calibri"/>
                <w:b/>
              </w:rPr>
              <w:t xml:space="preserve">Project title </w:t>
            </w:r>
            <w:r>
              <w:rPr>
                <w:rFonts w:cs="Calibri"/>
              </w:rPr>
              <w:t>[no more than 30 words]:</w:t>
            </w:r>
          </w:p>
        </w:tc>
        <w:tc>
          <w:tcPr>
            <w:tcW w:w="3260" w:type="pct"/>
            <w:shd w:val="clear" w:color="auto" w:fill="auto"/>
          </w:tcPr>
          <w:p w14:paraId="7C56B0EA">
            <w:pPr>
              <w:spacing w:after="0" w:line="240" w:lineRule="auto"/>
              <w:ind w:right="144"/>
              <w:rPr>
                <w:rFonts w:cs="Calibri"/>
                <w:b/>
              </w:rPr>
            </w:pPr>
          </w:p>
          <w:p w14:paraId="24CE0C00">
            <w:pPr>
              <w:spacing w:after="0" w:line="240" w:lineRule="auto"/>
              <w:ind w:right="144"/>
              <w:rPr>
                <w:rFonts w:cs="Calibri"/>
                <w:b/>
              </w:rPr>
            </w:pPr>
          </w:p>
        </w:tc>
      </w:tr>
    </w:tbl>
    <w:p w14:paraId="4F60CE66">
      <w:pPr>
        <w:spacing w:after="0" w:line="240" w:lineRule="auto"/>
        <w:ind w:right="144"/>
        <w:rPr>
          <w:rFonts w:cs="Calibri"/>
          <w:b/>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6"/>
      </w:tblGrid>
      <w:tr w14:paraId="1E857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shd w:val="clear" w:color="auto" w:fill="C6D9F1"/>
          </w:tcPr>
          <w:p w14:paraId="4FDAF8BE">
            <w:pPr>
              <w:spacing w:after="0" w:line="240" w:lineRule="auto"/>
              <w:ind w:right="144"/>
              <w:rPr>
                <w:rFonts w:cs="Calibri"/>
              </w:rPr>
            </w:pPr>
            <w:bookmarkStart w:id="1" w:name="_Hlk89356670"/>
            <w:r>
              <w:rPr>
                <w:rFonts w:cs="Calibri"/>
                <w:b/>
              </w:rPr>
              <w:t xml:space="preserve">Executive summary </w:t>
            </w:r>
            <w:r>
              <w:rPr>
                <w:rFonts w:cs="Calibri"/>
              </w:rPr>
              <w:t>(please describe research objectives, problem(s) to be solved, the technical route/approach, innovations) [</w:t>
            </w:r>
            <w:r>
              <w:rPr>
                <w:rFonts w:cs="Calibri"/>
                <w:b/>
                <w:bCs/>
              </w:rPr>
              <w:t>no more than 2000 words</w:t>
            </w:r>
            <w:r>
              <w:rPr>
                <w:rFonts w:cs="Calibri"/>
              </w:rPr>
              <w:t xml:space="preserve">, </w:t>
            </w:r>
            <w:r>
              <w:rPr>
                <w:rFonts w:hint="eastAsia" w:cs="Calibri"/>
                <w:lang w:eastAsia="zh-CN"/>
              </w:rPr>
              <w:t xml:space="preserve">you can use </w:t>
            </w:r>
            <w:r>
              <w:rPr>
                <w:rFonts w:cs="Calibri"/>
                <w:lang w:eastAsia="zh-CN"/>
              </w:rPr>
              <w:t>carto</w:t>
            </w:r>
            <w:r>
              <w:rPr>
                <w:rFonts w:hint="eastAsia" w:cs="Calibri"/>
                <w:lang w:eastAsia="zh-CN"/>
              </w:rPr>
              <w:t xml:space="preserve">on to </w:t>
            </w:r>
            <w:r>
              <w:rPr>
                <w:rFonts w:cs="Calibri"/>
                <w:lang w:eastAsia="zh-CN"/>
              </w:rPr>
              <w:t>show</w:t>
            </w:r>
            <w:r>
              <w:rPr>
                <w:rFonts w:hint="eastAsia" w:cs="Calibri"/>
                <w:lang w:eastAsia="zh-CN"/>
              </w:rPr>
              <w:t xml:space="preserve"> the concepts if needed</w:t>
            </w:r>
            <w:r>
              <w:rPr>
                <w:rFonts w:cs="Calibri"/>
              </w:rPr>
              <w:t>]</w:t>
            </w:r>
          </w:p>
        </w:tc>
      </w:tr>
      <w:bookmarkEnd w:id="1"/>
      <w:tr w14:paraId="6F29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shd w:val="clear" w:color="auto" w:fill="auto"/>
          </w:tcPr>
          <w:p w14:paraId="01D135E6">
            <w:pPr>
              <w:spacing w:after="0" w:line="240" w:lineRule="auto"/>
              <w:ind w:right="144"/>
              <w:rPr>
                <w:rFonts w:cs="Calibri"/>
                <w:b/>
              </w:rPr>
            </w:pPr>
            <w:r>
              <w:rPr>
                <w:rFonts w:cs="Calibri"/>
                <w:b/>
              </w:rPr>
              <w:t>Research objective(s)</w:t>
            </w:r>
            <w:r>
              <w:rPr>
                <w:rFonts w:hint="eastAsia" w:cs="Calibri"/>
                <w:b/>
                <w:lang w:eastAsia="zh-CN"/>
              </w:rPr>
              <w:t xml:space="preserve"> and </w:t>
            </w:r>
            <w:r>
              <w:rPr>
                <w:rFonts w:cs="Calibri"/>
                <w:b/>
              </w:rPr>
              <w:t>Problem(s) to be solved</w:t>
            </w:r>
            <w:r>
              <w:rPr>
                <w:rFonts w:hint="eastAsia" w:cs="Calibri"/>
                <w:b/>
                <w:lang w:eastAsia="zh-CN"/>
              </w:rPr>
              <w:t xml:space="preserve"> </w:t>
            </w:r>
            <w:r>
              <w:rPr>
                <w:rFonts w:hint="eastAsia" w:cs="Calibri"/>
                <w:bCs/>
                <w:i/>
                <w:iCs/>
                <w:lang w:eastAsia="zh-CN"/>
              </w:rPr>
              <w:t xml:space="preserve">(Please specify exact </w:t>
            </w:r>
            <w:r>
              <w:rPr>
                <w:rFonts w:cs="Calibri"/>
                <w:bCs/>
                <w:i/>
                <w:iCs/>
                <w:lang w:eastAsia="zh-CN"/>
              </w:rPr>
              <w:t>research</w:t>
            </w:r>
            <w:r>
              <w:rPr>
                <w:rFonts w:hint="eastAsia" w:cs="Calibri"/>
                <w:bCs/>
                <w:i/>
                <w:iCs/>
                <w:lang w:eastAsia="zh-CN"/>
              </w:rPr>
              <w:t xml:space="preserve"> area and </w:t>
            </w:r>
            <w:r>
              <w:rPr>
                <w:rFonts w:cs="Calibri"/>
                <w:bCs/>
                <w:i/>
                <w:iCs/>
                <w:lang w:eastAsia="zh-CN"/>
              </w:rPr>
              <w:t>problem</w:t>
            </w:r>
            <w:r>
              <w:rPr>
                <w:rFonts w:hint="eastAsia" w:cs="Calibri"/>
                <w:bCs/>
                <w:i/>
                <w:iCs/>
                <w:lang w:eastAsia="zh-CN"/>
              </w:rPr>
              <w:t xml:space="preserve"> statement)</w:t>
            </w:r>
            <w:r>
              <w:rPr>
                <w:rFonts w:cs="Calibri"/>
                <w:b/>
                <w:lang w:eastAsia="zh-CN"/>
              </w:rPr>
              <w:t>:</w:t>
            </w:r>
            <w:r>
              <w:rPr>
                <w:rFonts w:cs="Calibri"/>
                <w:bCs/>
                <w:lang w:eastAsia="zh-CN"/>
              </w:rPr>
              <w:t xml:space="preserve"> </w:t>
            </w:r>
          </w:p>
          <w:p w14:paraId="65620A5E">
            <w:pPr>
              <w:spacing w:after="0" w:line="240" w:lineRule="auto"/>
              <w:ind w:right="144"/>
              <w:rPr>
                <w:rFonts w:cs="Calibri"/>
                <w:b/>
              </w:rPr>
            </w:pPr>
          </w:p>
          <w:p w14:paraId="661BF5EB">
            <w:pPr>
              <w:spacing w:after="0" w:line="240" w:lineRule="auto"/>
              <w:ind w:right="144"/>
              <w:rPr>
                <w:rFonts w:cs="Calibri"/>
                <w:b/>
              </w:rPr>
            </w:pPr>
            <w:r>
              <w:rPr>
                <w:rFonts w:cs="Calibri"/>
                <w:b/>
              </w:rPr>
              <w:t>Technical approach</w:t>
            </w:r>
            <w:r>
              <w:rPr>
                <w:rFonts w:hint="eastAsia" w:cs="Calibri"/>
                <w:b/>
                <w:lang w:eastAsia="zh-CN"/>
              </w:rPr>
              <w:t xml:space="preserve"> </w:t>
            </w:r>
            <w:r>
              <w:rPr>
                <w:rFonts w:cs="Calibri"/>
                <w:bCs/>
                <w:i/>
                <w:iCs/>
                <w:lang w:eastAsia="zh-CN"/>
              </w:rPr>
              <w:t xml:space="preserve">(Please include </w:t>
            </w:r>
            <w:r>
              <w:rPr>
                <w:rFonts w:hint="eastAsia" w:cs="Calibri"/>
                <w:bCs/>
                <w:i/>
                <w:iCs/>
                <w:lang w:eastAsia="zh-CN"/>
              </w:rPr>
              <w:t xml:space="preserve">at least </w:t>
            </w:r>
            <w:r>
              <w:rPr>
                <w:rFonts w:cs="Calibri"/>
                <w:bCs/>
                <w:i/>
                <w:iCs/>
                <w:lang w:eastAsia="zh-CN"/>
              </w:rPr>
              <w:t xml:space="preserve">approaches, activities, collaboration </w:t>
            </w:r>
            <w:r>
              <w:rPr>
                <w:rFonts w:hint="eastAsia" w:cs="Calibri"/>
                <w:bCs/>
                <w:i/>
                <w:iCs/>
                <w:lang w:eastAsia="zh-CN"/>
              </w:rPr>
              <w:t xml:space="preserve">plan </w:t>
            </w:r>
            <w:r>
              <w:rPr>
                <w:rFonts w:cs="Calibri"/>
                <w:bCs/>
                <w:i/>
                <w:iCs/>
                <w:lang w:eastAsia="zh-CN"/>
              </w:rPr>
              <w:t xml:space="preserve">with other partners, how </w:t>
            </w:r>
            <w:r>
              <w:rPr>
                <w:rFonts w:cs="Calibri"/>
                <w:i/>
                <w:iCs/>
                <w:lang w:eastAsia="zh-CN"/>
              </w:rPr>
              <w:t>your work plan can address the research objective(s) of the project</w:t>
            </w:r>
            <w:r>
              <w:rPr>
                <w:rFonts w:cs="Calibri"/>
                <w:bCs/>
                <w:i/>
                <w:iCs/>
                <w:lang w:eastAsia="zh-CN"/>
              </w:rPr>
              <w:t>)</w:t>
            </w:r>
            <w:r>
              <w:rPr>
                <w:rFonts w:cs="Calibri"/>
                <w:b/>
              </w:rPr>
              <w:t>:</w:t>
            </w:r>
          </w:p>
          <w:p w14:paraId="0D17ED9E">
            <w:pPr>
              <w:spacing w:after="0" w:line="240" w:lineRule="auto"/>
              <w:ind w:right="144"/>
              <w:rPr>
                <w:rFonts w:cs="Calibri"/>
                <w:b/>
              </w:rPr>
            </w:pPr>
          </w:p>
          <w:p w14:paraId="3D73A0A2">
            <w:pPr>
              <w:spacing w:after="0" w:line="240" w:lineRule="auto"/>
              <w:ind w:right="144"/>
              <w:rPr>
                <w:rFonts w:cs="Calibri"/>
                <w:b/>
                <w:lang w:eastAsia="zh-CN"/>
              </w:rPr>
            </w:pPr>
            <w:r>
              <w:rPr>
                <w:rFonts w:cs="Calibri"/>
                <w:b/>
                <w:lang w:eastAsia="zh-CN"/>
              </w:rPr>
              <w:t>Major</w:t>
            </w:r>
            <w:r>
              <w:rPr>
                <w:rFonts w:hint="eastAsia" w:cs="Calibri"/>
                <w:b/>
                <w:lang w:eastAsia="zh-CN"/>
              </w:rPr>
              <w:t xml:space="preserve"> deliverables </w:t>
            </w:r>
            <w:r>
              <w:rPr>
                <w:rFonts w:cs="Calibri"/>
                <w:bCs/>
                <w:i/>
                <w:iCs/>
                <w:lang w:eastAsia="zh-CN"/>
              </w:rPr>
              <w:t>(</w:t>
            </w:r>
            <w:r>
              <w:rPr>
                <w:rFonts w:hint="eastAsia" w:cs="Calibri"/>
                <w:bCs/>
                <w:i/>
                <w:iCs/>
                <w:lang w:eastAsia="zh-CN"/>
              </w:rPr>
              <w:t xml:space="preserve">Please list major outputs of the research, map </w:t>
            </w:r>
            <w:r>
              <w:rPr>
                <w:rFonts w:cs="Calibri"/>
                <w:bCs/>
                <w:i/>
                <w:iCs/>
                <w:lang w:eastAsia="zh-CN"/>
              </w:rPr>
              <w:t>milestones</w:t>
            </w:r>
            <w:r>
              <w:rPr>
                <w:rFonts w:hint="eastAsia" w:cs="Calibri"/>
                <w:bCs/>
                <w:i/>
                <w:iCs/>
                <w:lang w:eastAsia="zh-CN"/>
              </w:rPr>
              <w:t xml:space="preserve"> by year by activities, with quantifiable </w:t>
            </w:r>
            <w:r>
              <w:rPr>
                <w:rFonts w:cs="Calibri"/>
                <w:bCs/>
                <w:i/>
                <w:iCs/>
                <w:lang w:eastAsia="zh-CN"/>
              </w:rPr>
              <w:t>metrics</w:t>
            </w:r>
            <w:r>
              <w:rPr>
                <w:rFonts w:hint="eastAsia" w:cs="Calibri"/>
                <w:bCs/>
                <w:i/>
                <w:iCs/>
                <w:lang w:eastAsia="zh-CN"/>
              </w:rPr>
              <w:t xml:space="preserve"> to evaluate the outcomes</w:t>
            </w:r>
            <w:r>
              <w:rPr>
                <w:rFonts w:cs="Calibri"/>
                <w:bCs/>
                <w:i/>
                <w:iCs/>
                <w:lang w:eastAsia="zh-CN"/>
              </w:rPr>
              <w:t>)</w:t>
            </w:r>
          </w:p>
          <w:p w14:paraId="3B38A876">
            <w:pPr>
              <w:spacing w:after="0" w:line="240" w:lineRule="auto"/>
              <w:ind w:right="144"/>
              <w:rPr>
                <w:rFonts w:cs="Calibri"/>
                <w:b/>
              </w:rPr>
            </w:pPr>
          </w:p>
          <w:p w14:paraId="3AB15E99">
            <w:pPr>
              <w:spacing w:after="0" w:line="240" w:lineRule="auto"/>
              <w:ind w:right="144"/>
              <w:rPr>
                <w:rFonts w:cs="Calibri"/>
                <w:b/>
              </w:rPr>
            </w:pPr>
            <w:r>
              <w:rPr>
                <w:rFonts w:cs="Calibri"/>
                <w:b/>
              </w:rPr>
              <w:t>Innovations</w:t>
            </w:r>
            <w:r>
              <w:rPr>
                <w:rFonts w:hint="eastAsia" w:cs="Calibri"/>
                <w:b/>
                <w:lang w:eastAsia="zh-CN"/>
              </w:rPr>
              <w:t xml:space="preserve"> </w:t>
            </w:r>
            <w:r>
              <w:rPr>
                <w:rFonts w:hint="eastAsia" w:cs="Calibri"/>
                <w:bCs/>
                <w:i/>
                <w:iCs/>
                <w:lang w:eastAsia="zh-CN"/>
              </w:rPr>
              <w:t>(Please specify novelty compared to current technology)</w:t>
            </w:r>
            <w:r>
              <w:rPr>
                <w:rFonts w:cs="Calibri"/>
                <w:b/>
              </w:rPr>
              <w:t>:</w:t>
            </w:r>
          </w:p>
          <w:p w14:paraId="4186E5C7">
            <w:pPr>
              <w:spacing w:after="0" w:line="240" w:lineRule="auto"/>
              <w:ind w:right="144"/>
              <w:rPr>
                <w:rFonts w:cs="Calibri"/>
                <w:b/>
              </w:rPr>
            </w:pPr>
          </w:p>
        </w:tc>
      </w:tr>
    </w:tbl>
    <w:p w14:paraId="359381D3">
      <w:pPr>
        <w:spacing w:after="0" w:line="240" w:lineRule="auto"/>
        <w:ind w:right="144"/>
        <w:rPr>
          <w:rFonts w:cs="Calibri"/>
          <w:b/>
          <w:lang w:eastAsia="zh-CN"/>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5"/>
        <w:gridCol w:w="2201"/>
      </w:tblGrid>
      <w:tr w14:paraId="486FA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shd w:val="clear" w:color="auto" w:fill="B8CCE4"/>
          </w:tcPr>
          <w:p w14:paraId="76E84A19">
            <w:pPr>
              <w:pStyle w:val="3"/>
              <w:spacing w:before="0" w:line="240" w:lineRule="auto"/>
              <w:ind w:right="144"/>
              <w:rPr>
                <w:rFonts w:ascii="Calibri" w:hAnsi="Calibri" w:cs="Calibri"/>
                <w:i/>
                <w:sz w:val="22"/>
                <w:szCs w:val="22"/>
              </w:rPr>
            </w:pPr>
            <w:r>
              <w:rPr>
                <w:rFonts w:ascii="Calibri" w:hAnsi="Calibri" w:cs="Calibri"/>
                <w:b/>
                <w:bCs/>
                <w:i/>
                <w:sz w:val="22"/>
                <w:szCs w:val="22"/>
              </w:rPr>
              <w:t>F</w:t>
            </w:r>
            <w:r>
              <w:rPr>
                <w:rFonts w:hint="eastAsia" w:ascii="等线" w:hAnsi="等线" w:eastAsia="等线" w:cs="Calibri"/>
                <w:b/>
                <w:bCs/>
                <w:i/>
                <w:sz w:val="22"/>
                <w:szCs w:val="22"/>
                <w:lang w:eastAsia="zh-CN"/>
              </w:rPr>
              <w:t>o</w:t>
            </w:r>
            <w:r>
              <w:rPr>
                <w:rFonts w:ascii="Calibri" w:hAnsi="Calibri" w:cs="Calibri"/>
                <w:b/>
                <w:bCs/>
                <w:i/>
                <w:sz w:val="22"/>
                <w:szCs w:val="22"/>
              </w:rPr>
              <w:t>cus areas</w:t>
            </w:r>
            <w:r>
              <w:rPr>
                <w:rFonts w:ascii="Calibri" w:hAnsi="Calibri" w:cs="Calibri"/>
                <w:i/>
                <w:sz w:val="22"/>
                <w:szCs w:val="22"/>
              </w:rPr>
              <w:t xml:space="preserve"> </w:t>
            </w:r>
            <w:r>
              <w:rPr>
                <w:rFonts w:ascii="Calibri" w:hAnsi="Calibri" w:cs="Calibri"/>
                <w:b/>
                <w:i/>
                <w:sz w:val="22"/>
                <w:szCs w:val="22"/>
              </w:rPr>
              <w:t>(please indicate which the focus area(s) are covered in your proposa</w:t>
            </w:r>
            <w:r>
              <w:rPr>
                <w:rFonts w:hint="eastAsia" w:ascii="Calibri" w:hAnsi="Calibri" w:cs="Calibri"/>
                <w:b/>
                <w:i/>
                <w:sz w:val="22"/>
                <w:szCs w:val="22"/>
                <w:lang w:eastAsia="zh-CN"/>
              </w:rPr>
              <w:t>l, please only select one option and specify focus area under the box</w:t>
            </w:r>
            <w:r>
              <w:rPr>
                <w:rFonts w:ascii="Calibri" w:hAnsi="Calibri" w:cs="Calibri"/>
                <w:b/>
                <w:i/>
                <w:sz w:val="22"/>
                <w:szCs w:val="22"/>
              </w:rPr>
              <w:t>)</w:t>
            </w:r>
          </w:p>
        </w:tc>
      </w:tr>
      <w:tr w14:paraId="5A34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4001" w:type="pct"/>
            <w:shd w:val="clear" w:color="auto" w:fill="B8CCE4"/>
          </w:tcPr>
          <w:p w14:paraId="7E90D392">
            <w:pPr>
              <w:pStyle w:val="19"/>
              <w:widowControl w:val="0"/>
              <w:numPr>
                <w:ilvl w:val="0"/>
                <w:numId w:val="3"/>
              </w:numPr>
              <w:ind w:left="418" w:hanging="418"/>
              <w:rPr>
                <w:rFonts w:ascii="Calibri" w:hAnsi="Calibri" w:cs="Calibri"/>
              </w:rPr>
            </w:pPr>
            <w:r>
              <w:rPr>
                <w:rFonts w:ascii="Calibri" w:hAnsi="Calibri" w:cs="Calibri"/>
              </w:rPr>
              <w:t xml:space="preserve">Research on novel active ingredients </w:t>
            </w:r>
            <w:r>
              <w:rPr>
                <w:rFonts w:hint="eastAsia" w:ascii="Calibri" w:hAnsi="Calibri" w:cs="Calibri"/>
                <w:lang w:eastAsia="zh-CN"/>
              </w:rPr>
              <w:t xml:space="preserve">of </w:t>
            </w:r>
            <w:r>
              <w:rPr>
                <w:rFonts w:ascii="Calibri" w:hAnsi="Calibri" w:cs="Calibri"/>
                <w:lang w:eastAsia="zh-CN"/>
              </w:rPr>
              <w:t>insecticides</w:t>
            </w:r>
            <w:r>
              <w:rPr>
                <w:rFonts w:hint="eastAsia" w:ascii="Calibri" w:hAnsi="Calibri" w:cs="Calibri"/>
                <w:lang w:eastAsia="zh-CN"/>
              </w:rPr>
              <w:t xml:space="preserve">, and </w:t>
            </w:r>
            <w:r>
              <w:rPr>
                <w:rFonts w:ascii="Calibri" w:hAnsi="Calibri" w:cs="Calibri"/>
              </w:rPr>
              <w:t xml:space="preserve">novel volatile active ingredients for use in </w:t>
            </w:r>
            <w:r>
              <w:rPr>
                <w:rFonts w:ascii="Calibri" w:hAnsi="Calibri" w:cs="Calibri"/>
                <w:lang w:eastAsia="zh-CN"/>
              </w:rPr>
              <w:t>s</w:t>
            </w:r>
            <w:r>
              <w:rPr>
                <w:rFonts w:ascii="Calibri" w:hAnsi="Calibri" w:cs="Calibri"/>
              </w:rPr>
              <w:t xml:space="preserve">patial </w:t>
            </w:r>
            <w:r>
              <w:rPr>
                <w:rFonts w:ascii="Calibri" w:hAnsi="Calibri" w:cs="Calibri"/>
                <w:lang w:eastAsia="zh-CN"/>
              </w:rPr>
              <w:t>e</w:t>
            </w:r>
            <w:r>
              <w:rPr>
                <w:rFonts w:ascii="Calibri" w:hAnsi="Calibri" w:cs="Calibri"/>
              </w:rPr>
              <w:t>manators</w:t>
            </w:r>
            <w:r>
              <w:rPr>
                <w:rFonts w:ascii="Calibri" w:hAnsi="Calibri" w:cs="Calibri"/>
                <w:lang w:eastAsia="zh-CN"/>
              </w:rPr>
              <w:t xml:space="preserve"> or s</w:t>
            </w:r>
            <w:r>
              <w:rPr>
                <w:rFonts w:ascii="Calibri" w:hAnsi="Calibri" w:cs="Calibri"/>
              </w:rPr>
              <w:t xml:space="preserve">patial </w:t>
            </w:r>
            <w:r>
              <w:rPr>
                <w:rFonts w:ascii="Calibri" w:hAnsi="Calibri" w:cs="Calibri"/>
                <w:lang w:eastAsia="zh-CN"/>
              </w:rPr>
              <w:t>r</w:t>
            </w:r>
            <w:r>
              <w:rPr>
                <w:rFonts w:ascii="Calibri" w:hAnsi="Calibri" w:cs="Calibri"/>
              </w:rPr>
              <w:t>epellents</w:t>
            </w:r>
            <w:r>
              <w:rPr>
                <w:rFonts w:ascii="Calibri" w:hAnsi="Calibri" w:cs="Calibri"/>
                <w:lang w:eastAsia="zh-CN"/>
              </w:rPr>
              <w:t xml:space="preserve"> (e.g. new chemical classes and analogues of existing classes with efficacy against mosquitoes)</w:t>
            </w:r>
          </w:p>
        </w:tc>
        <w:tc>
          <w:tcPr>
            <w:tcW w:w="999" w:type="pct"/>
            <w:shd w:val="clear" w:color="auto" w:fill="auto"/>
          </w:tcPr>
          <w:p w14:paraId="73505D38">
            <w:pPr>
              <w:pStyle w:val="3"/>
              <w:spacing w:before="0" w:line="240" w:lineRule="auto"/>
              <w:ind w:right="144"/>
              <w:rPr>
                <w:rFonts w:ascii="Calibri" w:hAnsi="Calibri" w:cs="Calibri"/>
                <w:b/>
                <w:i/>
                <w:sz w:val="22"/>
                <w:szCs w:val="22"/>
              </w:rPr>
            </w:pPr>
            <w:r>
              <w:rPr>
                <w:rFonts w:ascii="Calibri" w:hAnsi="Calibri" w:cs="Calibri"/>
                <w:b/>
                <w:i/>
                <w:sz w:val="22"/>
                <w:szCs w:val="22"/>
              </w:rPr>
              <w:fldChar w:fldCharType="begin">
                <w:ffData>
                  <w:name w:val="PIAttendingWorkshop"/>
                  <w:enabled/>
                  <w:calcOnExit w:val="0"/>
                  <w:checkBox>
                    <w:sizeAuto/>
                    <w:default w:val="0"/>
                    <w:checked w:val="0"/>
                  </w:checkBox>
                </w:ffData>
              </w:fldChar>
            </w:r>
            <w:r>
              <w:rPr>
                <w:rFonts w:ascii="Calibri" w:hAnsi="Calibri" w:cs="Calibri"/>
                <w:b/>
                <w:i/>
                <w:sz w:val="22"/>
                <w:szCs w:val="22"/>
              </w:rPr>
              <w:instrText xml:space="preserve"> FORMCHECKBOX </w:instrText>
            </w:r>
            <w:r>
              <w:rPr>
                <w:rFonts w:ascii="Calibri" w:hAnsi="Calibri" w:cs="Calibri"/>
                <w:b/>
                <w:i/>
                <w:sz w:val="22"/>
                <w:szCs w:val="22"/>
              </w:rPr>
              <w:fldChar w:fldCharType="separate"/>
            </w:r>
            <w:r>
              <w:rPr>
                <w:rFonts w:ascii="Calibri" w:hAnsi="Calibri" w:cs="Calibri"/>
                <w:b/>
                <w:i/>
                <w:sz w:val="22"/>
                <w:szCs w:val="22"/>
              </w:rPr>
              <w:fldChar w:fldCharType="end"/>
            </w:r>
          </w:p>
          <w:p w14:paraId="151177FC">
            <w:r>
              <w:rPr>
                <w:i/>
                <w:iCs/>
                <w:color w:val="808080" w:themeColor="background1" w:themeShade="80"/>
                <w:sz w:val="18"/>
                <w:szCs w:val="18"/>
                <w:lang w:eastAsia="zh-CN"/>
              </w:rPr>
              <w:t>(example: focus on new molecule discovery )</w:t>
            </w:r>
          </w:p>
        </w:tc>
      </w:tr>
      <w:tr w14:paraId="40778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1" w:type="pct"/>
            <w:shd w:val="clear" w:color="auto" w:fill="B8CCE4"/>
          </w:tcPr>
          <w:p w14:paraId="34C64906">
            <w:pPr>
              <w:pStyle w:val="19"/>
              <w:widowControl w:val="0"/>
              <w:numPr>
                <w:ilvl w:val="0"/>
                <w:numId w:val="3"/>
              </w:numPr>
              <w:ind w:left="418" w:hanging="418"/>
              <w:rPr>
                <w:rFonts w:ascii="Calibri" w:hAnsi="Calibri" w:cs="Calibri"/>
              </w:rPr>
            </w:pPr>
            <w:r>
              <w:rPr>
                <w:rFonts w:ascii="Calibri" w:hAnsi="Calibri" w:cs="Calibri"/>
                <w:lang w:eastAsia="zh-CN"/>
              </w:rPr>
              <w:t xml:space="preserve">Research on innovative outdoor mosquito vector control </w:t>
            </w:r>
            <w:r>
              <w:rPr>
                <w:rFonts w:ascii="Calibri" w:hAnsi="Calibri" w:cs="Calibri"/>
              </w:rPr>
              <w:t>formulations</w:t>
            </w:r>
            <w:r>
              <w:rPr>
                <w:rFonts w:ascii="Calibri" w:hAnsi="Calibri" w:cs="Calibri"/>
                <w:lang w:eastAsia="zh-CN"/>
              </w:rPr>
              <w:t xml:space="preserve"> and delivery systems, platforms to drive populations down (e.g., lure and kill, including 2</w:t>
            </w:r>
            <w:r>
              <w:rPr>
                <w:rFonts w:ascii="Calibri" w:hAnsi="Calibri" w:cs="Calibri"/>
                <w:vertAlign w:val="superscript"/>
                <w:lang w:eastAsia="zh-CN"/>
              </w:rPr>
              <w:t>nd</w:t>
            </w:r>
            <w:r>
              <w:rPr>
                <w:rFonts w:ascii="Calibri" w:hAnsi="Calibri" w:cs="Calibri"/>
                <w:lang w:eastAsia="zh-CN"/>
              </w:rPr>
              <w:t xml:space="preserve"> generation </w:t>
            </w:r>
            <w:r>
              <w:rPr>
                <w:rFonts w:hint="eastAsia" w:ascii="Calibri" w:hAnsi="Calibri" w:cs="Calibri"/>
                <w:lang w:eastAsia="zh-CN"/>
              </w:rPr>
              <w:t>Attractive Target</w:t>
            </w:r>
            <w:r>
              <w:rPr>
                <w:rFonts w:ascii="Calibri" w:hAnsi="Calibri" w:cs="Calibri"/>
                <w:lang w:eastAsia="zh-CN"/>
              </w:rPr>
              <w:t>ed</w:t>
            </w:r>
            <w:r>
              <w:rPr>
                <w:rFonts w:hint="eastAsia" w:ascii="Calibri" w:hAnsi="Calibri" w:cs="Calibri"/>
                <w:lang w:eastAsia="zh-CN"/>
              </w:rPr>
              <w:t xml:space="preserve"> Sugar Baits</w:t>
            </w:r>
            <w:r>
              <w:rPr>
                <w:rFonts w:ascii="Calibri" w:hAnsi="Calibri" w:cs="Calibri"/>
                <w:lang w:eastAsia="zh-CN"/>
              </w:rPr>
              <w:t xml:space="preserve">) </w:t>
            </w:r>
          </w:p>
        </w:tc>
        <w:tc>
          <w:tcPr>
            <w:tcW w:w="999" w:type="pct"/>
            <w:shd w:val="clear" w:color="auto" w:fill="auto"/>
          </w:tcPr>
          <w:p w14:paraId="35EC2C98">
            <w:pPr>
              <w:pStyle w:val="3"/>
              <w:spacing w:before="0" w:line="240" w:lineRule="auto"/>
              <w:ind w:right="144"/>
              <w:rPr>
                <w:rFonts w:ascii="Calibri" w:hAnsi="Calibri" w:cs="Calibri"/>
                <w:i/>
                <w:sz w:val="22"/>
                <w:szCs w:val="22"/>
              </w:rPr>
            </w:pPr>
            <w:r>
              <w:rPr>
                <w:rFonts w:ascii="Calibri" w:hAnsi="Calibri" w:cs="Calibri"/>
                <w:i/>
                <w:sz w:val="22"/>
                <w:szCs w:val="22"/>
              </w:rPr>
              <w:fldChar w:fldCharType="begin">
                <w:ffData>
                  <w:name w:val="PIAttendingWorkshop"/>
                  <w:enabled/>
                  <w:calcOnExit w:val="0"/>
                  <w:checkBox>
                    <w:sizeAuto/>
                    <w:default w:val="0"/>
                    <w:checked w:val="0"/>
                  </w:checkBox>
                </w:ffData>
              </w:fldChar>
            </w:r>
            <w:r>
              <w:rPr>
                <w:rFonts w:ascii="Calibri" w:hAnsi="Calibri" w:cs="Calibri"/>
                <w:i/>
                <w:sz w:val="22"/>
                <w:szCs w:val="22"/>
              </w:rPr>
              <w:instrText xml:space="preserve"> FORMCHECKBOX </w:instrText>
            </w:r>
            <w:r>
              <w:rPr>
                <w:rFonts w:ascii="Calibri" w:hAnsi="Calibri" w:cs="Calibri"/>
                <w:i/>
                <w:sz w:val="22"/>
                <w:szCs w:val="22"/>
              </w:rPr>
              <w:fldChar w:fldCharType="separate"/>
            </w:r>
            <w:r>
              <w:rPr>
                <w:rFonts w:ascii="Calibri" w:hAnsi="Calibri" w:cs="Calibri"/>
                <w:i/>
                <w:sz w:val="22"/>
                <w:szCs w:val="22"/>
              </w:rPr>
              <w:fldChar w:fldCharType="end"/>
            </w:r>
          </w:p>
        </w:tc>
      </w:tr>
      <w:tr w14:paraId="604B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1" w:type="pct"/>
            <w:shd w:val="clear" w:color="auto" w:fill="B8CCE4"/>
          </w:tcPr>
          <w:p w14:paraId="455B9672">
            <w:pPr>
              <w:pStyle w:val="19"/>
              <w:widowControl w:val="0"/>
              <w:numPr>
                <w:ilvl w:val="0"/>
                <w:numId w:val="3"/>
              </w:numPr>
              <w:ind w:left="418" w:hanging="418"/>
              <w:contextualSpacing w:val="0"/>
              <w:rPr>
                <w:rFonts w:ascii="Calibri" w:hAnsi="Calibri" w:cs="Calibri"/>
              </w:rPr>
            </w:pPr>
            <w:r>
              <w:rPr>
                <w:rFonts w:ascii="Calibri" w:hAnsi="Calibri" w:cs="Calibri"/>
                <w:lang w:eastAsia="zh-CN"/>
              </w:rPr>
              <w:t xml:space="preserve">Novel endosymbionts blocking </w:t>
            </w:r>
            <w:r>
              <w:rPr>
                <w:rFonts w:ascii="Calibri" w:hAnsi="Calibri" w:cs="Calibri"/>
                <w:i/>
                <w:iCs/>
                <w:lang w:eastAsia="zh-CN"/>
              </w:rPr>
              <w:t xml:space="preserve">Plasmodium </w:t>
            </w:r>
            <w:r>
              <w:rPr>
                <w:rFonts w:ascii="Calibri" w:hAnsi="Calibri" w:cs="Calibri"/>
                <w:lang w:eastAsia="zh-CN"/>
              </w:rPr>
              <w:t xml:space="preserve">transmission in </w:t>
            </w:r>
            <w:r>
              <w:rPr>
                <w:rFonts w:ascii="Calibri" w:hAnsi="Calibri" w:cs="Calibri"/>
                <w:i/>
                <w:iCs/>
                <w:lang w:eastAsia="zh-CN"/>
              </w:rPr>
              <w:t xml:space="preserve">Anopheles </w:t>
            </w:r>
            <w:r>
              <w:rPr>
                <w:rFonts w:ascii="Calibri" w:hAnsi="Calibri" w:cs="Calibri"/>
                <w:lang w:eastAsia="zh-CN"/>
              </w:rPr>
              <w:t>(e.g., novel strain of Wolbachia or others), and improved approaches</w:t>
            </w:r>
            <w:r>
              <w:rPr>
                <w:rFonts w:hint="eastAsia" w:ascii="Calibri" w:hAnsi="Calibri" w:cs="Calibri"/>
                <w:lang w:eastAsia="zh-CN"/>
              </w:rPr>
              <w:t xml:space="preserve"> / devices</w:t>
            </w:r>
            <w:r>
              <w:rPr>
                <w:rFonts w:ascii="Calibri" w:hAnsi="Calibri" w:cs="Calibri"/>
                <w:lang w:eastAsia="zh-CN"/>
              </w:rPr>
              <w:t xml:space="preserve"> for rearing, transporting, and releasing modified mosquitoes</w:t>
            </w:r>
          </w:p>
        </w:tc>
        <w:tc>
          <w:tcPr>
            <w:tcW w:w="999" w:type="pct"/>
            <w:shd w:val="clear" w:color="auto" w:fill="auto"/>
          </w:tcPr>
          <w:p w14:paraId="65A75A98">
            <w:pPr>
              <w:pStyle w:val="3"/>
              <w:spacing w:before="0" w:line="240" w:lineRule="auto"/>
              <w:ind w:right="144"/>
              <w:rPr>
                <w:rFonts w:ascii="Calibri" w:hAnsi="Calibri" w:cs="Calibri"/>
                <w:b/>
                <w:i/>
                <w:sz w:val="22"/>
                <w:szCs w:val="22"/>
              </w:rPr>
            </w:pPr>
            <w:r>
              <w:rPr>
                <w:rFonts w:ascii="Calibri" w:hAnsi="Calibri" w:cs="Calibri"/>
                <w:i/>
                <w:sz w:val="22"/>
                <w:szCs w:val="22"/>
              </w:rPr>
              <w:fldChar w:fldCharType="begin">
                <w:ffData>
                  <w:name w:val="PIAttendingWorkshop"/>
                  <w:enabled/>
                  <w:calcOnExit w:val="0"/>
                  <w:checkBox>
                    <w:sizeAuto/>
                    <w:default w:val="0"/>
                    <w:checked w:val="0"/>
                  </w:checkBox>
                </w:ffData>
              </w:fldChar>
            </w:r>
            <w:r>
              <w:rPr>
                <w:rFonts w:ascii="Calibri" w:hAnsi="Calibri" w:cs="Calibri"/>
                <w:i/>
                <w:sz w:val="22"/>
                <w:szCs w:val="22"/>
              </w:rPr>
              <w:instrText xml:space="preserve"> FORMCHECKBOX </w:instrText>
            </w:r>
            <w:r>
              <w:rPr>
                <w:rFonts w:ascii="Calibri" w:hAnsi="Calibri" w:cs="Calibri"/>
                <w:i/>
                <w:sz w:val="22"/>
                <w:szCs w:val="22"/>
              </w:rPr>
              <w:fldChar w:fldCharType="separate"/>
            </w:r>
            <w:r>
              <w:rPr>
                <w:rFonts w:ascii="Calibri" w:hAnsi="Calibri" w:cs="Calibri"/>
                <w:i/>
                <w:sz w:val="22"/>
                <w:szCs w:val="22"/>
              </w:rPr>
              <w:fldChar w:fldCharType="end"/>
            </w:r>
          </w:p>
        </w:tc>
      </w:tr>
      <w:tr w14:paraId="69282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1" w:type="pct"/>
            <w:shd w:val="clear" w:color="auto" w:fill="B8CCE4"/>
          </w:tcPr>
          <w:p w14:paraId="47F45322">
            <w:pPr>
              <w:pStyle w:val="19"/>
              <w:widowControl w:val="0"/>
              <w:numPr>
                <w:ilvl w:val="0"/>
                <w:numId w:val="3"/>
              </w:numPr>
              <w:ind w:left="418" w:hanging="418"/>
              <w:rPr>
                <w:rFonts w:ascii="Calibri" w:hAnsi="Calibri" w:cs="Calibri"/>
                <w:bCs/>
                <w:i/>
                <w:lang w:eastAsia="zh-CN"/>
              </w:rPr>
            </w:pPr>
            <w:r>
              <w:rPr>
                <w:rFonts w:ascii="Calibri" w:hAnsi="Calibri" w:cs="Calibri"/>
                <w:lang w:eastAsia="zh-CN"/>
              </w:rPr>
              <w:t xml:space="preserve">Next generation devices for monitoring, vector sample collecting, and other outdoor vector control use cases (e.g. traps showing improved sampling of anopheline mosquitoes, replacements for </w:t>
            </w:r>
            <w:r>
              <w:rPr>
                <w:rFonts w:hint="eastAsia" w:ascii="Calibri" w:hAnsi="Calibri" w:cs="Calibri"/>
                <w:lang w:eastAsia="zh-CN"/>
              </w:rPr>
              <w:t>Human Landing Catches</w:t>
            </w:r>
            <w:r>
              <w:rPr>
                <w:rFonts w:ascii="Calibri" w:hAnsi="Calibri" w:cs="Calibri"/>
                <w:lang w:eastAsia="zh-CN"/>
              </w:rPr>
              <w:t xml:space="preserve">, low-cost manufacturable smart traps that identify species, durable tech-enabled </w:t>
            </w:r>
            <w:r>
              <w:rPr>
                <w:rFonts w:hint="eastAsia" w:ascii="Calibri" w:hAnsi="Calibri" w:cs="Calibri"/>
                <w:lang w:eastAsia="zh-CN"/>
              </w:rPr>
              <w:t>Larva</w:t>
            </w:r>
            <w:r>
              <w:rPr>
                <w:rFonts w:ascii="Calibri" w:hAnsi="Calibri" w:cs="Calibri"/>
                <w:lang w:eastAsia="zh-CN"/>
              </w:rPr>
              <w:t>l</w:t>
            </w:r>
            <w:r>
              <w:rPr>
                <w:rFonts w:hint="eastAsia" w:ascii="Calibri" w:hAnsi="Calibri" w:cs="Calibri"/>
                <w:lang w:eastAsia="zh-CN"/>
              </w:rPr>
              <w:t xml:space="preserve"> Source Management</w:t>
            </w:r>
            <w:r>
              <w:rPr>
                <w:rFonts w:ascii="Calibri" w:hAnsi="Calibri" w:cs="Calibri"/>
                <w:lang w:eastAsia="zh-CN"/>
              </w:rPr>
              <w:t>)</w:t>
            </w:r>
          </w:p>
        </w:tc>
        <w:tc>
          <w:tcPr>
            <w:tcW w:w="999" w:type="pct"/>
            <w:shd w:val="clear" w:color="auto" w:fill="auto"/>
          </w:tcPr>
          <w:p w14:paraId="03262363">
            <w:pPr>
              <w:pStyle w:val="3"/>
              <w:spacing w:before="0" w:line="240" w:lineRule="auto"/>
              <w:ind w:right="144"/>
              <w:rPr>
                <w:rFonts w:ascii="Calibri" w:hAnsi="Calibri" w:cs="Calibri"/>
                <w:i/>
                <w:sz w:val="22"/>
                <w:szCs w:val="22"/>
              </w:rPr>
            </w:pPr>
            <w:r>
              <w:rPr>
                <w:rFonts w:ascii="Calibri" w:hAnsi="Calibri" w:cs="Calibri"/>
                <w:i/>
                <w:sz w:val="22"/>
                <w:szCs w:val="22"/>
              </w:rPr>
              <w:fldChar w:fldCharType="begin">
                <w:ffData>
                  <w:name w:val="PIAttendingWorkshop"/>
                  <w:enabled/>
                  <w:calcOnExit w:val="0"/>
                  <w:checkBox>
                    <w:sizeAuto/>
                    <w:default w:val="0"/>
                    <w:checked w:val="0"/>
                  </w:checkBox>
                </w:ffData>
              </w:fldChar>
            </w:r>
            <w:r>
              <w:rPr>
                <w:rFonts w:ascii="Calibri" w:hAnsi="Calibri" w:cs="Calibri"/>
                <w:i/>
                <w:sz w:val="22"/>
                <w:szCs w:val="22"/>
              </w:rPr>
              <w:instrText xml:space="preserve"> FORMCHECKBOX </w:instrText>
            </w:r>
            <w:r>
              <w:rPr>
                <w:rFonts w:ascii="Calibri" w:hAnsi="Calibri" w:cs="Calibri"/>
                <w:i/>
                <w:sz w:val="22"/>
                <w:szCs w:val="22"/>
              </w:rPr>
              <w:fldChar w:fldCharType="separate"/>
            </w:r>
            <w:r>
              <w:rPr>
                <w:rFonts w:ascii="Calibri" w:hAnsi="Calibri" w:cs="Calibri"/>
                <w:i/>
                <w:sz w:val="22"/>
                <w:szCs w:val="22"/>
              </w:rPr>
              <w:fldChar w:fldCharType="end"/>
            </w:r>
          </w:p>
        </w:tc>
      </w:tr>
    </w:tbl>
    <w:p w14:paraId="454EC27B">
      <w:pPr>
        <w:spacing w:after="0" w:line="240" w:lineRule="auto"/>
        <w:ind w:right="144"/>
        <w:rPr>
          <w:rFonts w:cs="Calibri"/>
          <w:b/>
        </w:rPr>
      </w:pPr>
    </w:p>
    <w:tbl>
      <w:tblPr>
        <w:tblStyle w:val="11"/>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0"/>
        <w:gridCol w:w="7285"/>
      </w:tblGrid>
      <w:tr w14:paraId="6908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shd w:val="clear" w:color="auto" w:fill="C6D9F1"/>
          </w:tcPr>
          <w:p w14:paraId="7987B422">
            <w:pPr>
              <w:spacing w:after="0" w:line="240" w:lineRule="auto"/>
              <w:ind w:right="144"/>
              <w:rPr>
                <w:rFonts w:cs="Calibri"/>
                <w:b/>
              </w:rPr>
            </w:pPr>
            <w:r>
              <w:rPr>
                <w:rFonts w:cs="Calibri"/>
                <w:b/>
              </w:rPr>
              <w:t>Duration of grant in months</w:t>
            </w:r>
          </w:p>
          <w:p w14:paraId="6616792E">
            <w:pPr>
              <w:spacing w:after="0" w:line="240" w:lineRule="auto"/>
              <w:ind w:right="144"/>
              <w:rPr>
                <w:rFonts w:cs="Calibri"/>
                <w:b/>
              </w:rPr>
            </w:pPr>
            <w:r>
              <w:rPr>
                <w:rFonts w:cs="Calibri"/>
                <w:b/>
              </w:rPr>
              <w:t xml:space="preserve"> </w:t>
            </w:r>
            <w:r>
              <w:rPr>
                <w:rFonts w:cs="Calibri"/>
              </w:rPr>
              <w:t>(</w:t>
            </w:r>
            <w:r>
              <w:rPr>
                <w:rFonts w:cs="Calibri"/>
                <w:lang w:eastAsia="zh-CN"/>
              </w:rPr>
              <w:t>maximum</w:t>
            </w:r>
            <w:r>
              <w:rPr>
                <w:rFonts w:hint="eastAsia" w:cs="Calibri"/>
                <w:lang w:eastAsia="zh-CN"/>
              </w:rPr>
              <w:t xml:space="preserve"> </w:t>
            </w:r>
            <w:r>
              <w:rPr>
                <w:rFonts w:cs="Calibri"/>
              </w:rPr>
              <w:t>36 months)</w:t>
            </w:r>
          </w:p>
        </w:tc>
        <w:tc>
          <w:tcPr>
            <w:tcW w:w="7285" w:type="dxa"/>
            <w:shd w:val="clear" w:color="auto" w:fill="auto"/>
          </w:tcPr>
          <w:p w14:paraId="0733CB3B">
            <w:pPr>
              <w:spacing w:after="0" w:line="240" w:lineRule="auto"/>
              <w:ind w:right="144"/>
              <w:rPr>
                <w:rFonts w:cs="Calibri"/>
                <w:b/>
              </w:rPr>
            </w:pPr>
          </w:p>
        </w:tc>
      </w:tr>
    </w:tbl>
    <w:p w14:paraId="7F195507">
      <w:pPr>
        <w:spacing w:after="0" w:line="240" w:lineRule="auto"/>
        <w:ind w:right="144"/>
        <w:rPr>
          <w:rFonts w:cs="Calibri"/>
          <w:b/>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2177"/>
        <w:gridCol w:w="2501"/>
        <w:gridCol w:w="5415"/>
      </w:tblGrid>
      <w:tr w14:paraId="6D717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shd w:val="clear" w:color="auto" w:fill="C6D9F1"/>
          </w:tcPr>
          <w:p w14:paraId="5A63E32F">
            <w:pPr>
              <w:spacing w:after="0" w:line="240" w:lineRule="auto"/>
              <w:ind w:right="144"/>
              <w:rPr>
                <w:rFonts w:cs="Calibri"/>
                <w:b/>
              </w:rPr>
            </w:pPr>
            <w:r>
              <w:rPr>
                <w:rFonts w:cs="Calibri"/>
                <w:b/>
              </w:rPr>
              <w:t xml:space="preserve">Project Partners </w:t>
            </w:r>
            <w:r>
              <w:rPr>
                <w:rFonts w:cs="Calibri"/>
                <w:bCs/>
              </w:rPr>
              <w:t>O</w:t>
            </w:r>
            <w:r>
              <w:rPr>
                <w:rFonts w:cs="Calibri"/>
              </w:rPr>
              <w:t xml:space="preserve">ne international collaborator (at the individual or institutional level) is required; One or two domestic partners (two maximum) are allowed </w:t>
            </w:r>
            <w:r>
              <w:rPr>
                <w:rFonts w:cs="Calibri"/>
                <w:i/>
                <w:iCs/>
              </w:rPr>
              <w:t>(Please delete or add more rows as needed)</w:t>
            </w:r>
          </w:p>
        </w:tc>
      </w:tr>
      <w:tr w14:paraId="034B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shd w:val="clear" w:color="auto" w:fill="C6D9F1"/>
          </w:tcPr>
          <w:p w14:paraId="352550FA">
            <w:pPr>
              <w:spacing w:after="0" w:line="240" w:lineRule="auto"/>
              <w:ind w:right="144"/>
              <w:rPr>
                <w:rFonts w:cs="Calibri"/>
                <w:b/>
              </w:rPr>
            </w:pPr>
            <w:r>
              <w:rPr>
                <w:rFonts w:cs="Calibri"/>
                <w:b/>
              </w:rPr>
              <w:t>Name</w:t>
            </w:r>
          </w:p>
        </w:tc>
        <w:tc>
          <w:tcPr>
            <w:tcW w:w="988" w:type="pct"/>
            <w:shd w:val="clear" w:color="auto" w:fill="C6D9F1"/>
          </w:tcPr>
          <w:p w14:paraId="73A051F8">
            <w:pPr>
              <w:spacing w:after="0" w:line="240" w:lineRule="auto"/>
              <w:ind w:right="144"/>
              <w:rPr>
                <w:rFonts w:cs="Calibri"/>
                <w:b/>
                <w:lang w:eastAsia="zh-CN"/>
              </w:rPr>
            </w:pPr>
            <w:r>
              <w:rPr>
                <w:rFonts w:cs="Calibri"/>
                <w:b/>
              </w:rPr>
              <w:t>Organization</w:t>
            </w:r>
          </w:p>
        </w:tc>
        <w:tc>
          <w:tcPr>
            <w:tcW w:w="1135" w:type="pct"/>
            <w:shd w:val="clear" w:color="auto" w:fill="C6D9F1"/>
          </w:tcPr>
          <w:p w14:paraId="68759E6A">
            <w:pPr>
              <w:spacing w:after="0" w:line="240" w:lineRule="auto"/>
              <w:ind w:right="144"/>
              <w:rPr>
                <w:rFonts w:cs="Calibri"/>
                <w:b/>
                <w:lang w:eastAsia="zh-CN"/>
              </w:rPr>
            </w:pPr>
            <w:r>
              <w:rPr>
                <w:rFonts w:hint="eastAsia" w:cs="Calibri"/>
                <w:b/>
                <w:lang w:eastAsia="zh-CN"/>
              </w:rPr>
              <w:t>Cell Phone and Email</w:t>
            </w:r>
          </w:p>
        </w:tc>
        <w:tc>
          <w:tcPr>
            <w:tcW w:w="2458" w:type="pct"/>
            <w:shd w:val="clear" w:color="auto" w:fill="C6D9F1"/>
          </w:tcPr>
          <w:p w14:paraId="6B7C7E36">
            <w:pPr>
              <w:spacing w:after="0" w:line="240" w:lineRule="auto"/>
              <w:ind w:right="144"/>
              <w:rPr>
                <w:rFonts w:cs="Calibri"/>
                <w:b/>
              </w:rPr>
            </w:pPr>
            <w:r>
              <w:rPr>
                <w:rFonts w:cs="Calibri"/>
                <w:b/>
              </w:rPr>
              <w:t>Input into project (funds, advice, facilities, etc.) and whether proposed or secured</w:t>
            </w:r>
          </w:p>
        </w:tc>
      </w:tr>
      <w:tr w14:paraId="7DA3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shd w:val="clear" w:color="auto" w:fill="auto"/>
          </w:tcPr>
          <w:p w14:paraId="74B67EE6">
            <w:pPr>
              <w:spacing w:after="0" w:line="240" w:lineRule="auto"/>
              <w:ind w:right="144"/>
              <w:rPr>
                <w:rFonts w:cs="Calibri"/>
                <w:b/>
              </w:rPr>
            </w:pPr>
          </w:p>
        </w:tc>
        <w:tc>
          <w:tcPr>
            <w:tcW w:w="988" w:type="pct"/>
            <w:shd w:val="clear" w:color="auto" w:fill="auto"/>
          </w:tcPr>
          <w:p w14:paraId="182F2722">
            <w:pPr>
              <w:spacing w:after="0" w:line="240" w:lineRule="auto"/>
              <w:ind w:right="144"/>
              <w:rPr>
                <w:rFonts w:cs="Calibri"/>
                <w:b/>
              </w:rPr>
            </w:pPr>
          </w:p>
        </w:tc>
        <w:tc>
          <w:tcPr>
            <w:tcW w:w="1135" w:type="pct"/>
          </w:tcPr>
          <w:p w14:paraId="63FD0B35">
            <w:pPr>
              <w:spacing w:after="0" w:line="240" w:lineRule="auto"/>
              <w:ind w:right="144"/>
              <w:rPr>
                <w:rFonts w:cs="Calibri"/>
                <w:b/>
              </w:rPr>
            </w:pPr>
          </w:p>
        </w:tc>
        <w:tc>
          <w:tcPr>
            <w:tcW w:w="2458" w:type="pct"/>
          </w:tcPr>
          <w:p w14:paraId="332C03D7">
            <w:pPr>
              <w:spacing w:after="0" w:line="240" w:lineRule="auto"/>
              <w:ind w:right="144"/>
              <w:rPr>
                <w:rFonts w:cs="Calibri"/>
                <w:b/>
              </w:rPr>
            </w:pPr>
          </w:p>
        </w:tc>
      </w:tr>
      <w:tr w14:paraId="26D5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shd w:val="clear" w:color="auto" w:fill="auto"/>
          </w:tcPr>
          <w:p w14:paraId="10A95F97">
            <w:pPr>
              <w:spacing w:after="0" w:line="240" w:lineRule="auto"/>
              <w:ind w:right="144"/>
              <w:rPr>
                <w:rFonts w:cs="Calibri"/>
                <w:b/>
              </w:rPr>
            </w:pPr>
          </w:p>
        </w:tc>
        <w:tc>
          <w:tcPr>
            <w:tcW w:w="988" w:type="pct"/>
            <w:shd w:val="clear" w:color="auto" w:fill="auto"/>
          </w:tcPr>
          <w:p w14:paraId="4CC4E4F8">
            <w:pPr>
              <w:spacing w:after="0" w:line="240" w:lineRule="auto"/>
              <w:ind w:right="144"/>
              <w:rPr>
                <w:rFonts w:cs="Calibri"/>
                <w:b/>
              </w:rPr>
            </w:pPr>
          </w:p>
        </w:tc>
        <w:tc>
          <w:tcPr>
            <w:tcW w:w="1135" w:type="pct"/>
          </w:tcPr>
          <w:p w14:paraId="3890D204">
            <w:pPr>
              <w:spacing w:after="0" w:line="240" w:lineRule="auto"/>
              <w:ind w:right="144"/>
              <w:rPr>
                <w:rFonts w:cs="Calibri"/>
                <w:b/>
              </w:rPr>
            </w:pPr>
          </w:p>
        </w:tc>
        <w:tc>
          <w:tcPr>
            <w:tcW w:w="2458" w:type="pct"/>
          </w:tcPr>
          <w:p w14:paraId="52EDED52">
            <w:pPr>
              <w:spacing w:after="0" w:line="240" w:lineRule="auto"/>
              <w:ind w:right="144"/>
              <w:rPr>
                <w:rFonts w:cs="Calibri"/>
                <w:b/>
              </w:rPr>
            </w:pPr>
          </w:p>
        </w:tc>
      </w:tr>
    </w:tbl>
    <w:p w14:paraId="5AB4D550">
      <w:pPr>
        <w:spacing w:after="0" w:line="240" w:lineRule="auto"/>
        <w:ind w:right="144"/>
        <w:rPr>
          <w:rFonts w:cs="Calibri"/>
          <w:b/>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6"/>
      </w:tblGrid>
      <w:tr w14:paraId="4A1B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shd w:val="clear" w:color="auto" w:fill="C6D9F1"/>
          </w:tcPr>
          <w:p w14:paraId="66684B3B">
            <w:pPr>
              <w:spacing w:after="0" w:line="240" w:lineRule="auto"/>
              <w:ind w:right="144"/>
              <w:rPr>
                <w:rFonts w:cs="Calibri"/>
              </w:rPr>
            </w:pPr>
            <w:r>
              <w:rPr>
                <w:rFonts w:hint="eastAsia" w:cs="Calibri"/>
                <w:b/>
                <w:lang w:eastAsia="zh-CN"/>
              </w:rPr>
              <w:t xml:space="preserve">Scientific fit of the project team and the </w:t>
            </w:r>
            <w:r>
              <w:rPr>
                <w:rFonts w:cs="Calibri"/>
                <w:b/>
                <w:lang w:eastAsia="zh-CN"/>
              </w:rPr>
              <w:t>collaborat</w:t>
            </w:r>
            <w:r>
              <w:rPr>
                <w:rFonts w:hint="eastAsia" w:cs="Calibri"/>
                <w:b/>
                <w:lang w:eastAsia="zh-CN"/>
              </w:rPr>
              <w:t xml:space="preserve">ive partner </w:t>
            </w:r>
            <w:r>
              <w:rPr>
                <w:rFonts w:cs="Calibri"/>
                <w:bCs/>
                <w:i/>
                <w:iCs/>
                <w:lang w:eastAsia="zh-CN"/>
              </w:rPr>
              <w:t>(</w:t>
            </w:r>
            <w:r>
              <w:rPr>
                <w:rFonts w:hint="eastAsia" w:cs="Calibri"/>
                <w:bCs/>
                <w:i/>
                <w:iCs/>
                <w:lang w:eastAsia="zh-CN"/>
              </w:rPr>
              <w:t>including but not limited to team c</w:t>
            </w:r>
            <w:r>
              <w:rPr>
                <w:rFonts w:cs="Calibri"/>
                <w:bCs/>
                <w:i/>
                <w:iCs/>
              </w:rPr>
              <w:t>omposition, expertise and experience of your project team</w:t>
            </w:r>
            <w:r>
              <w:rPr>
                <w:rFonts w:hint="eastAsia" w:cs="Calibri"/>
                <w:bCs/>
                <w:i/>
                <w:iCs/>
                <w:lang w:eastAsia="zh-CN"/>
              </w:rPr>
              <w:t xml:space="preserve"> relate</w:t>
            </w:r>
            <w:r>
              <w:rPr>
                <w:rFonts w:cs="Calibri"/>
                <w:bCs/>
                <w:i/>
                <w:iCs/>
                <w:lang w:eastAsia="zh-CN"/>
              </w:rPr>
              <w:t>d</w:t>
            </w:r>
            <w:r>
              <w:rPr>
                <w:rFonts w:hint="eastAsia" w:cs="Calibri"/>
                <w:bCs/>
                <w:i/>
                <w:iCs/>
                <w:lang w:eastAsia="zh-CN"/>
              </w:rPr>
              <w:t xml:space="preserve"> to the research</w:t>
            </w:r>
            <w:r>
              <w:rPr>
                <w:rFonts w:cs="Calibri"/>
                <w:bCs/>
                <w:i/>
                <w:iCs/>
              </w:rPr>
              <w:t>, include any previous similar collaborations</w:t>
            </w:r>
            <w:r>
              <w:rPr>
                <w:rFonts w:cs="Calibri"/>
                <w:bCs/>
                <w:i/>
                <w:iCs/>
                <w:lang w:eastAsia="zh-CN"/>
              </w:rPr>
              <w:t xml:space="preserve"> with the identified partner</w:t>
            </w:r>
            <w:r>
              <w:rPr>
                <w:rFonts w:hint="eastAsia" w:cs="Calibri"/>
                <w:bCs/>
                <w:i/>
                <w:iCs/>
                <w:lang w:eastAsia="zh-CN"/>
              </w:rPr>
              <w:t xml:space="preserve"> and the partner</w:t>
            </w:r>
            <w:r>
              <w:rPr>
                <w:rFonts w:cs="Calibri"/>
                <w:bCs/>
                <w:i/>
                <w:iCs/>
                <w:lang w:eastAsia="zh-CN"/>
              </w:rPr>
              <w:t>’</w:t>
            </w:r>
            <w:r>
              <w:rPr>
                <w:rFonts w:hint="eastAsia" w:cs="Calibri"/>
                <w:bCs/>
                <w:i/>
                <w:iCs/>
                <w:lang w:eastAsia="zh-CN"/>
              </w:rPr>
              <w:t>s competency)</w:t>
            </w:r>
            <w:r>
              <w:rPr>
                <w:rFonts w:cs="Calibri"/>
                <w:b/>
              </w:rPr>
              <w:t xml:space="preserve"> </w:t>
            </w:r>
            <w:r>
              <w:rPr>
                <w:rFonts w:cs="Calibri"/>
              </w:rPr>
              <w:t xml:space="preserve">[no more than </w:t>
            </w:r>
            <w:r>
              <w:rPr>
                <w:rFonts w:hint="eastAsia" w:cs="Calibri"/>
                <w:lang w:eastAsia="zh-CN"/>
              </w:rPr>
              <w:t>2</w:t>
            </w:r>
            <w:r>
              <w:rPr>
                <w:rFonts w:cs="Calibri"/>
              </w:rPr>
              <w:t>00 words]</w:t>
            </w:r>
          </w:p>
        </w:tc>
      </w:tr>
      <w:tr w14:paraId="7C309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shd w:val="clear" w:color="auto" w:fill="auto"/>
          </w:tcPr>
          <w:p w14:paraId="0A3DB40A">
            <w:pPr>
              <w:spacing w:after="0" w:line="240" w:lineRule="auto"/>
              <w:ind w:right="144"/>
              <w:rPr>
                <w:rFonts w:cs="Calibri"/>
                <w:b/>
              </w:rPr>
            </w:pPr>
          </w:p>
        </w:tc>
      </w:tr>
    </w:tbl>
    <w:p w14:paraId="4B1112D9">
      <w:pPr>
        <w:spacing w:after="0" w:line="240" w:lineRule="auto"/>
        <w:ind w:right="144"/>
        <w:rPr>
          <w:rFonts w:cs="Calibri"/>
          <w:b/>
          <w:bCs/>
          <w:iCs/>
        </w:rPr>
      </w:pPr>
    </w:p>
    <w:tbl>
      <w:tblPr>
        <w:tblStyle w:val="11"/>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5"/>
      </w:tblGrid>
      <w:tr w14:paraId="2E07C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5" w:type="dxa"/>
            <w:shd w:val="clear" w:color="auto" w:fill="C6D9F1"/>
          </w:tcPr>
          <w:p w14:paraId="690CE05A">
            <w:pPr>
              <w:spacing w:after="0" w:line="240" w:lineRule="auto"/>
              <w:ind w:right="144"/>
              <w:rPr>
                <w:rFonts w:cs="Calibri"/>
              </w:rPr>
            </w:pPr>
            <w:r>
              <w:rPr>
                <w:rFonts w:cs="Calibri"/>
                <w:b/>
              </w:rPr>
              <w:t xml:space="preserve">Expected </w:t>
            </w:r>
            <w:r>
              <w:rPr>
                <w:rFonts w:hint="eastAsia" w:cs="Calibri"/>
                <w:b/>
                <w:lang w:eastAsia="zh-CN"/>
              </w:rPr>
              <w:t xml:space="preserve">next steps of this research if outcomes successfully </w:t>
            </w:r>
            <w:r>
              <w:rPr>
                <w:rFonts w:cs="Calibri"/>
                <w:b/>
                <w:lang w:eastAsia="zh-CN"/>
              </w:rPr>
              <w:t>achieved</w:t>
            </w:r>
            <w:r>
              <w:rPr>
                <w:rFonts w:hint="eastAsia" w:cs="Calibri"/>
                <w:b/>
                <w:lang w:eastAsia="zh-CN"/>
              </w:rPr>
              <w:t xml:space="preserve"> </w:t>
            </w:r>
            <w:r>
              <w:rPr>
                <w:rFonts w:cs="Calibri"/>
                <w:bCs/>
                <w:i/>
                <w:iCs/>
                <w:lang w:eastAsia="zh-CN"/>
              </w:rPr>
              <w:t>(includ</w:t>
            </w:r>
            <w:r>
              <w:rPr>
                <w:rFonts w:hint="eastAsia" w:cs="Calibri"/>
                <w:bCs/>
                <w:i/>
                <w:iCs/>
                <w:lang w:eastAsia="zh-CN"/>
              </w:rPr>
              <w:t>i</w:t>
            </w:r>
            <w:r>
              <w:rPr>
                <w:rFonts w:cs="Calibri"/>
                <w:bCs/>
                <w:i/>
                <w:iCs/>
              </w:rPr>
              <w:t>ng</w:t>
            </w:r>
            <w:r>
              <w:rPr>
                <w:rFonts w:hint="eastAsia" w:cs="Calibri"/>
                <w:bCs/>
                <w:i/>
                <w:iCs/>
                <w:lang w:eastAsia="zh-CN"/>
              </w:rPr>
              <w:t xml:space="preserve"> but not limited to</w:t>
            </w:r>
            <w:r>
              <w:rPr>
                <w:rFonts w:cs="Calibri"/>
                <w:bCs/>
                <w:i/>
                <w:iCs/>
              </w:rPr>
              <w:t xml:space="preserve"> </w:t>
            </w:r>
            <w:r>
              <w:rPr>
                <w:rFonts w:hint="eastAsia" w:cs="Calibri"/>
                <w:bCs/>
                <w:i/>
                <w:iCs/>
                <w:lang w:eastAsia="zh-CN"/>
              </w:rPr>
              <w:t xml:space="preserve">critical Proof-of-Concept study or process / product validation required, </w:t>
            </w:r>
            <w:r>
              <w:rPr>
                <w:rFonts w:cs="Calibri"/>
                <w:bCs/>
                <w:i/>
                <w:iCs/>
              </w:rPr>
              <w:t>translational pathways</w:t>
            </w:r>
            <w:r>
              <w:rPr>
                <w:rFonts w:hint="eastAsia" w:cs="Calibri"/>
                <w:bCs/>
                <w:i/>
                <w:iCs/>
                <w:lang w:eastAsia="zh-CN"/>
              </w:rPr>
              <w:t xml:space="preserve">, </w:t>
            </w:r>
            <w:r>
              <w:rPr>
                <w:rFonts w:cs="Calibri"/>
                <w:bCs/>
                <w:i/>
                <w:iCs/>
              </w:rPr>
              <w:t>feasibility for use in low- and middle-income countries</w:t>
            </w:r>
            <w:r>
              <w:rPr>
                <w:rFonts w:hint="eastAsia" w:cs="Calibri"/>
                <w:bCs/>
                <w:i/>
                <w:iCs/>
                <w:lang w:eastAsia="zh-CN"/>
              </w:rPr>
              <w:t>)</w:t>
            </w:r>
            <w:r>
              <w:rPr>
                <w:rFonts w:cs="Calibri"/>
                <w:bCs/>
              </w:rPr>
              <w:t xml:space="preserve"> </w:t>
            </w:r>
            <w:r>
              <w:rPr>
                <w:rFonts w:cs="Calibri"/>
              </w:rPr>
              <w:t xml:space="preserve">[no more than </w:t>
            </w:r>
            <w:r>
              <w:rPr>
                <w:rFonts w:hint="eastAsia" w:cs="Calibri"/>
                <w:lang w:eastAsia="zh-CN"/>
              </w:rPr>
              <w:t>2</w:t>
            </w:r>
            <w:r>
              <w:rPr>
                <w:rFonts w:cs="Calibri"/>
              </w:rPr>
              <w:t>00 words]</w:t>
            </w:r>
          </w:p>
        </w:tc>
      </w:tr>
      <w:tr w14:paraId="60E1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5" w:type="dxa"/>
            <w:shd w:val="clear" w:color="auto" w:fill="auto"/>
          </w:tcPr>
          <w:p w14:paraId="7C8A4E0E">
            <w:pPr>
              <w:spacing w:after="0" w:line="240" w:lineRule="auto"/>
              <w:ind w:right="144"/>
              <w:rPr>
                <w:rFonts w:cs="Calibri"/>
                <w:b/>
              </w:rPr>
            </w:pPr>
          </w:p>
        </w:tc>
      </w:tr>
    </w:tbl>
    <w:p w14:paraId="413E153D">
      <w:pPr>
        <w:spacing w:after="0" w:line="240" w:lineRule="auto"/>
        <w:ind w:right="144"/>
        <w:rPr>
          <w:rFonts w:cs="Calibri"/>
          <w:b/>
          <w:bCs/>
          <w:iCs/>
        </w:rPr>
      </w:pPr>
    </w:p>
    <w:tbl>
      <w:tblPr>
        <w:tblStyle w:val="11"/>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5"/>
      </w:tblGrid>
      <w:tr w14:paraId="6CC4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5" w:type="dxa"/>
            <w:shd w:val="clear" w:color="auto" w:fill="C6D9F1"/>
          </w:tcPr>
          <w:p w14:paraId="05C18980">
            <w:pPr>
              <w:spacing w:after="0" w:line="240" w:lineRule="auto"/>
              <w:ind w:right="144"/>
              <w:rPr>
                <w:rFonts w:cs="Calibri"/>
              </w:rPr>
            </w:pPr>
            <w:r>
              <w:rPr>
                <w:rFonts w:cs="Calibri"/>
                <w:b/>
              </w:rPr>
              <w:t xml:space="preserve">Risks and mitigation </w:t>
            </w:r>
            <w:r>
              <w:rPr>
                <w:rFonts w:cs="Calibri"/>
                <w:i/>
                <w:iCs/>
              </w:rPr>
              <w:t>(please describe potential risks/challenges to the success of the project and the plan to address them, including any external factors or critical relationships with other partners/projects that may influence the success of the project)</w:t>
            </w:r>
            <w:r>
              <w:rPr>
                <w:rFonts w:cs="Calibri"/>
              </w:rPr>
              <w:t xml:space="preserve"> [no more than 200 words]</w:t>
            </w:r>
          </w:p>
        </w:tc>
      </w:tr>
      <w:tr w14:paraId="119F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5" w:type="dxa"/>
            <w:shd w:val="clear" w:color="auto" w:fill="auto"/>
          </w:tcPr>
          <w:p w14:paraId="4D4CAD41">
            <w:pPr>
              <w:spacing w:after="0" w:line="240" w:lineRule="auto"/>
              <w:ind w:right="144"/>
              <w:rPr>
                <w:rFonts w:cs="Calibri"/>
                <w:b/>
              </w:rPr>
            </w:pPr>
          </w:p>
        </w:tc>
      </w:tr>
    </w:tbl>
    <w:p w14:paraId="2C146A8A">
      <w:pPr>
        <w:spacing w:after="0" w:line="240" w:lineRule="auto"/>
        <w:ind w:right="144"/>
        <w:rPr>
          <w:rFonts w:cs="Calibri"/>
          <w:b/>
        </w:rPr>
      </w:pPr>
    </w:p>
    <w:p w14:paraId="7A34CC33">
      <w:pPr>
        <w:spacing w:after="0" w:line="240" w:lineRule="auto"/>
        <w:ind w:right="144"/>
        <w:rPr>
          <w:rFonts w:cs="Calibri"/>
          <w:b/>
        </w:rPr>
      </w:pPr>
    </w:p>
    <w:p w14:paraId="78E5AF7B">
      <w:pPr>
        <w:spacing w:after="0" w:line="240" w:lineRule="auto"/>
        <w:ind w:right="144"/>
        <w:rPr>
          <w:rFonts w:cs="Calibri"/>
          <w:b/>
        </w:rPr>
      </w:pPr>
    </w:p>
    <w:p w14:paraId="0766185C">
      <w:pPr>
        <w:spacing w:after="0" w:line="240" w:lineRule="auto"/>
        <w:ind w:right="144"/>
        <w:rPr>
          <w:rFonts w:cs="Calibri"/>
          <w:b/>
        </w:rPr>
      </w:pPr>
    </w:p>
    <w:p w14:paraId="2348F3A0">
      <w:pPr>
        <w:spacing w:after="0" w:line="240" w:lineRule="auto"/>
        <w:ind w:right="144"/>
        <w:rPr>
          <w:rFonts w:cs="Calibri"/>
          <w:b/>
        </w:rPr>
      </w:pPr>
    </w:p>
    <w:p w14:paraId="4D0D5D4D">
      <w:pPr>
        <w:spacing w:after="0" w:line="240" w:lineRule="auto"/>
        <w:ind w:right="144"/>
        <w:rPr>
          <w:rFonts w:cs="Calibri"/>
          <w:b/>
        </w:rPr>
      </w:pPr>
    </w:p>
    <w:p w14:paraId="6D589CFE">
      <w:pPr>
        <w:spacing w:after="0" w:line="240" w:lineRule="auto"/>
        <w:ind w:right="144"/>
        <w:rPr>
          <w:rFonts w:cs="Calibri"/>
          <w:b/>
        </w:rPr>
      </w:pPr>
    </w:p>
    <w:p w14:paraId="2647F9A4">
      <w:pPr>
        <w:spacing w:after="0" w:line="240" w:lineRule="auto"/>
        <w:ind w:right="144"/>
        <w:rPr>
          <w:rFonts w:cs="Calibri"/>
          <w:b/>
          <w:lang w:eastAsia="zh-CN"/>
        </w:rPr>
      </w:pPr>
      <w:r>
        <w:rPr>
          <w:rFonts w:cs="Calibri"/>
          <w:b/>
        </w:rPr>
        <w:t>RESOURCES</w:t>
      </w:r>
      <w:r>
        <w:rPr>
          <w:rFonts w:hint="eastAsia" w:cs="Calibri"/>
          <w:b/>
          <w:lang w:eastAsia="zh-CN"/>
        </w:rPr>
        <w:t xml:space="preserve"> </w:t>
      </w:r>
      <w:r>
        <w:rPr>
          <w:rFonts w:cs="Calibri"/>
          <w:b/>
          <w:lang w:eastAsia="zh-CN"/>
        </w:rPr>
        <w:t>and</w:t>
      </w:r>
      <w:r>
        <w:rPr>
          <w:rFonts w:hint="eastAsia" w:cs="Calibri"/>
          <w:b/>
          <w:lang w:eastAsia="zh-CN"/>
        </w:rPr>
        <w:t xml:space="preserve"> BUDGET</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8"/>
        <w:gridCol w:w="1331"/>
        <w:gridCol w:w="1331"/>
        <w:gridCol w:w="1331"/>
        <w:gridCol w:w="1335"/>
      </w:tblGrid>
      <w:tr w14:paraId="7992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C6D9F1"/>
          </w:tcPr>
          <w:p w14:paraId="2BCCB62A">
            <w:pPr>
              <w:spacing w:after="0" w:line="240" w:lineRule="auto"/>
              <w:ind w:right="144"/>
              <w:rPr>
                <w:rFonts w:cs="Calibri"/>
                <w:b/>
                <w:lang w:eastAsia="zh-CN"/>
              </w:rPr>
            </w:pPr>
            <w:r>
              <w:rPr>
                <w:rFonts w:cs="Calibri"/>
                <w:b/>
              </w:rPr>
              <w:t>Estimated resources requested</w:t>
            </w:r>
            <w:r>
              <w:rPr>
                <w:rFonts w:hint="eastAsia" w:cs="Calibri"/>
                <w:b/>
                <w:lang w:eastAsia="zh-CN"/>
              </w:rPr>
              <w:t xml:space="preserve"> (RMB, 000)</w:t>
            </w:r>
          </w:p>
        </w:tc>
      </w:tr>
      <w:tr w14:paraId="5D465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2" w:type="pct"/>
            <w:shd w:val="clear" w:color="auto" w:fill="C6D9F1"/>
          </w:tcPr>
          <w:p w14:paraId="60193CD0">
            <w:pPr>
              <w:spacing w:after="0" w:line="240" w:lineRule="auto"/>
              <w:ind w:right="144"/>
              <w:rPr>
                <w:rFonts w:cs="Calibri"/>
                <w:b/>
              </w:rPr>
            </w:pPr>
          </w:p>
        </w:tc>
        <w:tc>
          <w:tcPr>
            <w:tcW w:w="604" w:type="pct"/>
            <w:shd w:val="clear" w:color="auto" w:fill="C6D9F1"/>
          </w:tcPr>
          <w:p w14:paraId="1F44065C">
            <w:pPr>
              <w:spacing w:after="0" w:line="240" w:lineRule="auto"/>
              <w:ind w:right="144"/>
              <w:rPr>
                <w:rFonts w:cs="Calibri"/>
                <w:b/>
                <w:lang w:eastAsia="zh-CN"/>
              </w:rPr>
            </w:pPr>
            <w:r>
              <w:rPr>
                <w:rFonts w:hint="eastAsia" w:cs="Calibri"/>
                <w:b/>
                <w:lang w:eastAsia="zh-CN"/>
              </w:rPr>
              <w:t>Year 1</w:t>
            </w:r>
          </w:p>
        </w:tc>
        <w:tc>
          <w:tcPr>
            <w:tcW w:w="604" w:type="pct"/>
            <w:shd w:val="clear" w:color="auto" w:fill="C6D9F1"/>
          </w:tcPr>
          <w:p w14:paraId="20F3764A">
            <w:pPr>
              <w:spacing w:after="0" w:line="240" w:lineRule="auto"/>
              <w:ind w:right="144"/>
              <w:rPr>
                <w:rFonts w:cs="Calibri"/>
                <w:b/>
                <w:lang w:eastAsia="zh-CN"/>
              </w:rPr>
            </w:pPr>
            <w:r>
              <w:rPr>
                <w:rFonts w:hint="eastAsia" w:cs="Calibri"/>
                <w:b/>
                <w:lang w:eastAsia="zh-CN"/>
              </w:rPr>
              <w:t>Year 2</w:t>
            </w:r>
          </w:p>
        </w:tc>
        <w:tc>
          <w:tcPr>
            <w:tcW w:w="604" w:type="pct"/>
            <w:shd w:val="clear" w:color="auto" w:fill="C6D9F1"/>
          </w:tcPr>
          <w:p w14:paraId="2087C281">
            <w:pPr>
              <w:spacing w:after="0" w:line="240" w:lineRule="auto"/>
              <w:ind w:right="144"/>
              <w:rPr>
                <w:rFonts w:cs="Calibri"/>
                <w:b/>
                <w:lang w:eastAsia="zh-CN"/>
              </w:rPr>
            </w:pPr>
            <w:r>
              <w:rPr>
                <w:rFonts w:hint="eastAsia" w:cs="Calibri"/>
                <w:b/>
                <w:lang w:eastAsia="zh-CN"/>
              </w:rPr>
              <w:t>Year 3</w:t>
            </w:r>
          </w:p>
        </w:tc>
        <w:tc>
          <w:tcPr>
            <w:tcW w:w="605" w:type="pct"/>
            <w:shd w:val="clear" w:color="auto" w:fill="C6D9F1"/>
          </w:tcPr>
          <w:p w14:paraId="52BA0A1C">
            <w:pPr>
              <w:spacing w:after="0" w:line="240" w:lineRule="auto"/>
              <w:ind w:right="144"/>
              <w:rPr>
                <w:rFonts w:cs="Calibri"/>
                <w:b/>
                <w:lang w:eastAsia="zh-CN"/>
              </w:rPr>
            </w:pPr>
            <w:r>
              <w:rPr>
                <w:rFonts w:hint="eastAsia" w:cs="Calibri"/>
                <w:b/>
                <w:lang w:eastAsia="zh-CN"/>
              </w:rPr>
              <w:t>Total</w:t>
            </w:r>
          </w:p>
        </w:tc>
      </w:tr>
      <w:tr w14:paraId="0E8ED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582" w:type="pct"/>
            <w:shd w:val="clear" w:color="auto" w:fill="auto"/>
          </w:tcPr>
          <w:p w14:paraId="1A5D9D23">
            <w:pPr>
              <w:spacing w:after="0" w:line="240" w:lineRule="auto"/>
              <w:ind w:right="144"/>
              <w:rPr>
                <w:rFonts w:cs="Calibri"/>
                <w:lang w:eastAsia="zh-CN"/>
              </w:rPr>
            </w:pPr>
            <w:r>
              <w:rPr>
                <w:rFonts w:cs="Calibri"/>
              </w:rPr>
              <w:t>GF resources</w:t>
            </w:r>
            <w:r>
              <w:rPr>
                <w:rFonts w:hint="eastAsia" w:cs="Calibri"/>
                <w:lang w:eastAsia="zh-CN"/>
              </w:rPr>
              <w:t xml:space="preserve"> </w:t>
            </w:r>
          </w:p>
        </w:tc>
        <w:tc>
          <w:tcPr>
            <w:tcW w:w="604" w:type="pct"/>
            <w:shd w:val="clear" w:color="auto" w:fill="auto"/>
          </w:tcPr>
          <w:p w14:paraId="4BD03BB1">
            <w:pPr>
              <w:spacing w:after="0" w:line="240" w:lineRule="auto"/>
              <w:ind w:right="144"/>
              <w:rPr>
                <w:rFonts w:cs="Calibri"/>
              </w:rPr>
            </w:pPr>
          </w:p>
        </w:tc>
        <w:tc>
          <w:tcPr>
            <w:tcW w:w="604" w:type="pct"/>
            <w:shd w:val="clear" w:color="auto" w:fill="auto"/>
          </w:tcPr>
          <w:p w14:paraId="4602BA05">
            <w:pPr>
              <w:spacing w:after="0" w:line="240" w:lineRule="auto"/>
              <w:ind w:right="144"/>
              <w:rPr>
                <w:rFonts w:cs="Calibri"/>
              </w:rPr>
            </w:pPr>
          </w:p>
        </w:tc>
        <w:tc>
          <w:tcPr>
            <w:tcW w:w="604" w:type="pct"/>
            <w:shd w:val="clear" w:color="auto" w:fill="auto"/>
          </w:tcPr>
          <w:p w14:paraId="41FE2FDE">
            <w:pPr>
              <w:spacing w:after="0" w:line="240" w:lineRule="auto"/>
              <w:ind w:right="144"/>
              <w:rPr>
                <w:rFonts w:cs="Calibri"/>
              </w:rPr>
            </w:pPr>
          </w:p>
        </w:tc>
        <w:tc>
          <w:tcPr>
            <w:tcW w:w="605" w:type="pct"/>
          </w:tcPr>
          <w:p w14:paraId="2F8E9611">
            <w:pPr>
              <w:spacing w:after="0" w:line="240" w:lineRule="auto"/>
              <w:ind w:right="144"/>
              <w:rPr>
                <w:rFonts w:cs="Calibri"/>
              </w:rPr>
            </w:pPr>
          </w:p>
        </w:tc>
      </w:tr>
      <w:tr w14:paraId="39C67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2582" w:type="pct"/>
            <w:shd w:val="clear" w:color="auto" w:fill="auto"/>
          </w:tcPr>
          <w:p w14:paraId="1837638C">
            <w:pPr>
              <w:spacing w:after="0" w:line="240" w:lineRule="auto"/>
              <w:ind w:right="144"/>
              <w:rPr>
                <w:rFonts w:cs="Calibri"/>
                <w:lang w:eastAsia="zh-CN"/>
              </w:rPr>
            </w:pPr>
            <w:r>
              <w:rPr>
                <w:rFonts w:cs="Calibri"/>
              </w:rPr>
              <w:t>China resources</w:t>
            </w:r>
            <w:r>
              <w:rPr>
                <w:rFonts w:hint="eastAsia" w:cs="Calibri"/>
                <w:lang w:eastAsia="zh-CN"/>
              </w:rPr>
              <w:t xml:space="preserve"> (could be multiple funding resources) </w:t>
            </w:r>
          </w:p>
        </w:tc>
        <w:tc>
          <w:tcPr>
            <w:tcW w:w="604" w:type="pct"/>
            <w:shd w:val="clear" w:color="auto" w:fill="auto"/>
          </w:tcPr>
          <w:p w14:paraId="1FF29EE5">
            <w:pPr>
              <w:spacing w:after="0" w:line="240" w:lineRule="auto"/>
              <w:ind w:right="144"/>
              <w:rPr>
                <w:rFonts w:cs="Calibri"/>
              </w:rPr>
            </w:pPr>
          </w:p>
        </w:tc>
        <w:tc>
          <w:tcPr>
            <w:tcW w:w="604" w:type="pct"/>
            <w:shd w:val="clear" w:color="auto" w:fill="auto"/>
          </w:tcPr>
          <w:p w14:paraId="166E6DCC">
            <w:pPr>
              <w:spacing w:after="0" w:line="240" w:lineRule="auto"/>
              <w:ind w:right="144"/>
              <w:rPr>
                <w:rFonts w:cs="Calibri"/>
              </w:rPr>
            </w:pPr>
          </w:p>
        </w:tc>
        <w:tc>
          <w:tcPr>
            <w:tcW w:w="604" w:type="pct"/>
            <w:shd w:val="clear" w:color="auto" w:fill="auto"/>
          </w:tcPr>
          <w:p w14:paraId="7518F08C">
            <w:pPr>
              <w:spacing w:after="0" w:line="240" w:lineRule="auto"/>
              <w:ind w:right="144"/>
              <w:rPr>
                <w:rFonts w:cs="Calibri"/>
              </w:rPr>
            </w:pPr>
          </w:p>
        </w:tc>
        <w:tc>
          <w:tcPr>
            <w:tcW w:w="605" w:type="pct"/>
          </w:tcPr>
          <w:p w14:paraId="01644ED1">
            <w:pPr>
              <w:spacing w:after="0" w:line="240" w:lineRule="auto"/>
              <w:ind w:right="144"/>
              <w:rPr>
                <w:rFonts w:cs="Calibri"/>
              </w:rPr>
            </w:pPr>
          </w:p>
        </w:tc>
      </w:tr>
      <w:tr w14:paraId="5F499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2582" w:type="pct"/>
            <w:shd w:val="clear" w:color="auto" w:fill="auto"/>
          </w:tcPr>
          <w:p w14:paraId="1B34421C">
            <w:pPr>
              <w:spacing w:after="0" w:line="240" w:lineRule="auto"/>
              <w:ind w:right="144"/>
              <w:rPr>
                <w:rFonts w:cs="Calibri"/>
                <w:i/>
                <w:iCs/>
              </w:rPr>
            </w:pPr>
            <w:r>
              <w:rPr>
                <w:rFonts w:cs="Calibri"/>
                <w:i/>
                <w:iCs/>
                <w:color w:val="000000" w:themeColor="text1"/>
                <w:lang w:eastAsia="zh-CN"/>
                <w14:textFill>
                  <w14:solidFill>
                    <w14:schemeClr w14:val="tx1"/>
                  </w14:solidFill>
                </w14:textFill>
              </w:rPr>
              <w:t>(please add rows below if other sources of funding are supporting this research on top of NSFC)</w:t>
            </w:r>
          </w:p>
        </w:tc>
        <w:tc>
          <w:tcPr>
            <w:tcW w:w="604" w:type="pct"/>
            <w:shd w:val="clear" w:color="auto" w:fill="auto"/>
          </w:tcPr>
          <w:p w14:paraId="3ED8E09F">
            <w:pPr>
              <w:spacing w:after="0" w:line="240" w:lineRule="auto"/>
              <w:ind w:right="144"/>
              <w:rPr>
                <w:rFonts w:cs="Calibri"/>
              </w:rPr>
            </w:pPr>
          </w:p>
        </w:tc>
        <w:tc>
          <w:tcPr>
            <w:tcW w:w="604" w:type="pct"/>
            <w:shd w:val="clear" w:color="auto" w:fill="auto"/>
          </w:tcPr>
          <w:p w14:paraId="212E134C">
            <w:pPr>
              <w:spacing w:after="0" w:line="240" w:lineRule="auto"/>
              <w:ind w:right="144"/>
              <w:rPr>
                <w:rFonts w:cs="Calibri"/>
              </w:rPr>
            </w:pPr>
          </w:p>
        </w:tc>
        <w:tc>
          <w:tcPr>
            <w:tcW w:w="604" w:type="pct"/>
            <w:shd w:val="clear" w:color="auto" w:fill="auto"/>
          </w:tcPr>
          <w:p w14:paraId="7FA714C9">
            <w:pPr>
              <w:spacing w:after="0" w:line="240" w:lineRule="auto"/>
              <w:ind w:right="144"/>
              <w:rPr>
                <w:rFonts w:cs="Calibri"/>
              </w:rPr>
            </w:pPr>
          </w:p>
        </w:tc>
        <w:tc>
          <w:tcPr>
            <w:tcW w:w="605" w:type="pct"/>
          </w:tcPr>
          <w:p w14:paraId="47D55C7A">
            <w:pPr>
              <w:spacing w:after="0" w:line="240" w:lineRule="auto"/>
              <w:ind w:right="144"/>
              <w:rPr>
                <w:rFonts w:cs="Calibri"/>
              </w:rPr>
            </w:pPr>
          </w:p>
        </w:tc>
      </w:tr>
    </w:tbl>
    <w:p w14:paraId="0CEB48CE">
      <w:pPr>
        <w:spacing w:after="0" w:line="240" w:lineRule="auto"/>
        <w:ind w:right="144"/>
        <w:rPr>
          <w:rFonts w:cs="Calibri"/>
          <w:b/>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90"/>
        <w:gridCol w:w="1331"/>
        <w:gridCol w:w="1331"/>
        <w:gridCol w:w="1331"/>
        <w:gridCol w:w="1333"/>
      </w:tblGrid>
      <w:tr w14:paraId="72AB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C6D9F1"/>
          </w:tcPr>
          <w:p w14:paraId="4D55E124">
            <w:pPr>
              <w:spacing w:after="0" w:line="240" w:lineRule="auto"/>
              <w:ind w:right="144"/>
              <w:rPr>
                <w:rFonts w:cs="Calibri"/>
                <w:b/>
              </w:rPr>
            </w:pPr>
            <w:r>
              <w:rPr>
                <w:rFonts w:hint="eastAsia" w:cs="Calibri"/>
                <w:b/>
                <w:lang w:eastAsia="zh-CN"/>
              </w:rPr>
              <w:t>Budget by activities (RMB, 000)</w:t>
            </w:r>
          </w:p>
        </w:tc>
      </w:tr>
      <w:tr w14:paraId="2E52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3" w:type="pct"/>
            <w:shd w:val="clear" w:color="auto" w:fill="C6D9F1"/>
          </w:tcPr>
          <w:p w14:paraId="27F0711E">
            <w:pPr>
              <w:spacing w:after="0" w:line="240" w:lineRule="auto"/>
              <w:ind w:right="144"/>
              <w:rPr>
                <w:rFonts w:cs="Calibri"/>
                <w:b/>
              </w:rPr>
            </w:pPr>
          </w:p>
        </w:tc>
        <w:tc>
          <w:tcPr>
            <w:tcW w:w="604" w:type="pct"/>
            <w:shd w:val="clear" w:color="auto" w:fill="C6D9F1"/>
          </w:tcPr>
          <w:p w14:paraId="4E30588D">
            <w:pPr>
              <w:spacing w:after="0" w:line="240" w:lineRule="auto"/>
              <w:ind w:right="144"/>
              <w:rPr>
                <w:rFonts w:cs="Calibri"/>
                <w:b/>
                <w:lang w:eastAsia="zh-CN"/>
              </w:rPr>
            </w:pPr>
            <w:r>
              <w:rPr>
                <w:rFonts w:hint="eastAsia" w:cs="Calibri"/>
                <w:b/>
                <w:lang w:eastAsia="zh-CN"/>
              </w:rPr>
              <w:t>Year 1</w:t>
            </w:r>
          </w:p>
        </w:tc>
        <w:tc>
          <w:tcPr>
            <w:tcW w:w="604" w:type="pct"/>
            <w:shd w:val="clear" w:color="auto" w:fill="C6D9F1"/>
          </w:tcPr>
          <w:p w14:paraId="2FC1EC18">
            <w:pPr>
              <w:spacing w:after="0" w:line="240" w:lineRule="auto"/>
              <w:ind w:right="144"/>
              <w:rPr>
                <w:rFonts w:cs="Calibri"/>
                <w:b/>
                <w:lang w:eastAsia="zh-CN"/>
              </w:rPr>
            </w:pPr>
            <w:r>
              <w:rPr>
                <w:rFonts w:hint="eastAsia" w:cs="Calibri"/>
                <w:b/>
                <w:lang w:eastAsia="zh-CN"/>
              </w:rPr>
              <w:t>Year 2</w:t>
            </w:r>
          </w:p>
        </w:tc>
        <w:tc>
          <w:tcPr>
            <w:tcW w:w="604" w:type="pct"/>
            <w:shd w:val="clear" w:color="auto" w:fill="C6D9F1"/>
          </w:tcPr>
          <w:p w14:paraId="3D8B2A83">
            <w:pPr>
              <w:spacing w:after="0" w:line="240" w:lineRule="auto"/>
              <w:ind w:right="144"/>
              <w:rPr>
                <w:rFonts w:cs="Calibri"/>
                <w:b/>
                <w:lang w:eastAsia="zh-CN"/>
              </w:rPr>
            </w:pPr>
            <w:r>
              <w:rPr>
                <w:rFonts w:hint="eastAsia" w:cs="Calibri"/>
                <w:b/>
                <w:lang w:eastAsia="zh-CN"/>
              </w:rPr>
              <w:t>Year 3</w:t>
            </w:r>
          </w:p>
        </w:tc>
        <w:tc>
          <w:tcPr>
            <w:tcW w:w="604" w:type="pct"/>
            <w:shd w:val="clear" w:color="auto" w:fill="C6D9F1"/>
          </w:tcPr>
          <w:p w14:paraId="1EEABC9B">
            <w:pPr>
              <w:spacing w:after="0" w:line="240" w:lineRule="auto"/>
              <w:ind w:right="144"/>
              <w:rPr>
                <w:rFonts w:cs="Calibri"/>
                <w:b/>
                <w:lang w:eastAsia="zh-CN"/>
              </w:rPr>
            </w:pPr>
            <w:r>
              <w:rPr>
                <w:rFonts w:hint="eastAsia" w:cs="Calibri"/>
                <w:b/>
                <w:lang w:eastAsia="zh-CN"/>
              </w:rPr>
              <w:t>Total</w:t>
            </w:r>
          </w:p>
        </w:tc>
      </w:tr>
      <w:tr w14:paraId="6EFA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2583" w:type="pct"/>
            <w:shd w:val="clear" w:color="auto" w:fill="auto"/>
          </w:tcPr>
          <w:p w14:paraId="2808F172">
            <w:pPr>
              <w:spacing w:after="0" w:line="240" w:lineRule="auto"/>
              <w:ind w:right="144"/>
              <w:rPr>
                <w:rFonts w:cs="Calibri"/>
                <w:lang w:eastAsia="zh-CN"/>
              </w:rPr>
            </w:pPr>
            <w:r>
              <w:rPr>
                <w:rFonts w:hint="eastAsia" w:cs="Calibri"/>
                <w:lang w:eastAsia="zh-CN"/>
              </w:rPr>
              <w:t>Activity 1: xxx</w:t>
            </w:r>
          </w:p>
        </w:tc>
        <w:tc>
          <w:tcPr>
            <w:tcW w:w="604" w:type="pct"/>
            <w:shd w:val="clear" w:color="auto" w:fill="auto"/>
          </w:tcPr>
          <w:p w14:paraId="7A236C84">
            <w:pPr>
              <w:spacing w:after="0" w:line="240" w:lineRule="auto"/>
              <w:ind w:right="144"/>
              <w:rPr>
                <w:rFonts w:cs="Calibri"/>
              </w:rPr>
            </w:pPr>
          </w:p>
        </w:tc>
        <w:tc>
          <w:tcPr>
            <w:tcW w:w="604" w:type="pct"/>
            <w:shd w:val="clear" w:color="auto" w:fill="auto"/>
          </w:tcPr>
          <w:p w14:paraId="3C06F672">
            <w:pPr>
              <w:spacing w:after="0" w:line="240" w:lineRule="auto"/>
              <w:ind w:right="144"/>
              <w:rPr>
                <w:rFonts w:cs="Calibri"/>
              </w:rPr>
            </w:pPr>
          </w:p>
        </w:tc>
        <w:tc>
          <w:tcPr>
            <w:tcW w:w="604" w:type="pct"/>
            <w:shd w:val="clear" w:color="auto" w:fill="auto"/>
          </w:tcPr>
          <w:p w14:paraId="72293BDE">
            <w:pPr>
              <w:spacing w:after="0" w:line="240" w:lineRule="auto"/>
              <w:ind w:right="144"/>
              <w:rPr>
                <w:rFonts w:cs="Calibri"/>
              </w:rPr>
            </w:pPr>
          </w:p>
        </w:tc>
        <w:tc>
          <w:tcPr>
            <w:tcW w:w="604" w:type="pct"/>
          </w:tcPr>
          <w:p w14:paraId="32EAA64A">
            <w:pPr>
              <w:spacing w:after="0" w:line="240" w:lineRule="auto"/>
              <w:ind w:right="144"/>
              <w:rPr>
                <w:rFonts w:cs="Calibri"/>
              </w:rPr>
            </w:pPr>
          </w:p>
        </w:tc>
      </w:tr>
      <w:tr w14:paraId="3D07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2583" w:type="pct"/>
            <w:shd w:val="clear" w:color="auto" w:fill="auto"/>
          </w:tcPr>
          <w:p w14:paraId="10C69693">
            <w:pPr>
              <w:spacing w:after="0" w:line="240" w:lineRule="auto"/>
              <w:ind w:right="144"/>
              <w:rPr>
                <w:rFonts w:cs="Calibri"/>
                <w:lang w:eastAsia="zh-CN"/>
              </w:rPr>
            </w:pPr>
            <w:r>
              <w:rPr>
                <w:rFonts w:hint="eastAsia" w:cs="Calibri"/>
                <w:lang w:eastAsia="zh-CN"/>
              </w:rPr>
              <w:t>Activity 2: xxx</w:t>
            </w:r>
          </w:p>
        </w:tc>
        <w:tc>
          <w:tcPr>
            <w:tcW w:w="604" w:type="pct"/>
            <w:shd w:val="clear" w:color="auto" w:fill="auto"/>
          </w:tcPr>
          <w:p w14:paraId="2D8B2E17">
            <w:pPr>
              <w:spacing w:after="0" w:line="240" w:lineRule="auto"/>
              <w:ind w:right="144"/>
              <w:rPr>
                <w:rFonts w:cs="Calibri"/>
              </w:rPr>
            </w:pPr>
          </w:p>
        </w:tc>
        <w:tc>
          <w:tcPr>
            <w:tcW w:w="604" w:type="pct"/>
            <w:shd w:val="clear" w:color="auto" w:fill="auto"/>
          </w:tcPr>
          <w:p w14:paraId="4F73F408">
            <w:pPr>
              <w:spacing w:after="0" w:line="240" w:lineRule="auto"/>
              <w:ind w:right="144"/>
              <w:rPr>
                <w:rFonts w:cs="Calibri"/>
              </w:rPr>
            </w:pPr>
          </w:p>
        </w:tc>
        <w:tc>
          <w:tcPr>
            <w:tcW w:w="604" w:type="pct"/>
            <w:shd w:val="clear" w:color="auto" w:fill="auto"/>
          </w:tcPr>
          <w:p w14:paraId="2E65C248">
            <w:pPr>
              <w:spacing w:after="0" w:line="240" w:lineRule="auto"/>
              <w:ind w:right="144"/>
              <w:rPr>
                <w:rFonts w:cs="Calibri"/>
              </w:rPr>
            </w:pPr>
          </w:p>
        </w:tc>
        <w:tc>
          <w:tcPr>
            <w:tcW w:w="604" w:type="pct"/>
          </w:tcPr>
          <w:p w14:paraId="10DB02CD">
            <w:pPr>
              <w:spacing w:after="0" w:line="240" w:lineRule="auto"/>
              <w:ind w:right="144"/>
              <w:rPr>
                <w:rFonts w:cs="Calibri"/>
              </w:rPr>
            </w:pPr>
          </w:p>
        </w:tc>
      </w:tr>
      <w:tr w14:paraId="4158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2583" w:type="pct"/>
            <w:shd w:val="clear" w:color="auto" w:fill="auto"/>
          </w:tcPr>
          <w:p w14:paraId="4D440BDB">
            <w:pPr>
              <w:spacing w:after="0" w:line="240" w:lineRule="auto"/>
              <w:ind w:right="144"/>
              <w:rPr>
                <w:rFonts w:cs="Calibri"/>
                <w:lang w:eastAsia="zh-CN"/>
              </w:rPr>
            </w:pPr>
            <w:r>
              <w:rPr>
                <w:rFonts w:cs="Calibri"/>
                <w:color w:val="000000" w:themeColor="text1"/>
                <w:lang w:eastAsia="zh-CN"/>
                <w14:textFill>
                  <w14:solidFill>
                    <w14:schemeClr w14:val="tx1"/>
                  </w14:solidFill>
                </w14:textFill>
              </w:rPr>
              <w:t>…</w:t>
            </w:r>
            <w:r>
              <w:rPr>
                <w:rFonts w:hint="eastAsia" w:cs="Calibri"/>
                <w:color w:val="000000" w:themeColor="text1"/>
                <w:lang w:eastAsia="zh-CN"/>
                <w14:textFill>
                  <w14:solidFill>
                    <w14:schemeClr w14:val="tx1"/>
                  </w14:solidFill>
                </w14:textFill>
              </w:rPr>
              <w:t xml:space="preserve"> </w:t>
            </w:r>
            <w:r>
              <w:rPr>
                <w:rFonts w:hint="eastAsia" w:cs="Calibri"/>
                <w:i/>
                <w:iCs/>
                <w:color w:val="000000" w:themeColor="text1"/>
                <w:lang w:eastAsia="zh-CN"/>
                <w14:textFill>
                  <w14:solidFill>
                    <w14:schemeClr w14:val="tx1"/>
                  </w14:solidFill>
                </w14:textFill>
              </w:rPr>
              <w:t>(please add rows below for all activities)</w:t>
            </w:r>
          </w:p>
        </w:tc>
        <w:tc>
          <w:tcPr>
            <w:tcW w:w="604" w:type="pct"/>
            <w:shd w:val="clear" w:color="auto" w:fill="auto"/>
          </w:tcPr>
          <w:p w14:paraId="4687BD34">
            <w:pPr>
              <w:spacing w:after="0" w:line="240" w:lineRule="auto"/>
              <w:ind w:right="144"/>
              <w:rPr>
                <w:rFonts w:cs="Calibri"/>
              </w:rPr>
            </w:pPr>
          </w:p>
        </w:tc>
        <w:tc>
          <w:tcPr>
            <w:tcW w:w="604" w:type="pct"/>
            <w:shd w:val="clear" w:color="auto" w:fill="auto"/>
          </w:tcPr>
          <w:p w14:paraId="60725C44">
            <w:pPr>
              <w:spacing w:after="0" w:line="240" w:lineRule="auto"/>
              <w:ind w:right="144"/>
              <w:rPr>
                <w:rFonts w:cs="Calibri"/>
              </w:rPr>
            </w:pPr>
          </w:p>
        </w:tc>
        <w:tc>
          <w:tcPr>
            <w:tcW w:w="604" w:type="pct"/>
            <w:shd w:val="clear" w:color="auto" w:fill="auto"/>
          </w:tcPr>
          <w:p w14:paraId="1E4A7785">
            <w:pPr>
              <w:spacing w:after="0" w:line="240" w:lineRule="auto"/>
              <w:ind w:right="144"/>
              <w:rPr>
                <w:rFonts w:cs="Calibri"/>
              </w:rPr>
            </w:pPr>
          </w:p>
        </w:tc>
        <w:tc>
          <w:tcPr>
            <w:tcW w:w="604" w:type="pct"/>
          </w:tcPr>
          <w:p w14:paraId="29D7E27D">
            <w:pPr>
              <w:spacing w:after="0" w:line="240" w:lineRule="auto"/>
              <w:ind w:right="144"/>
              <w:rPr>
                <w:rFonts w:cs="Calibri"/>
              </w:rPr>
            </w:pPr>
          </w:p>
        </w:tc>
      </w:tr>
    </w:tbl>
    <w:p w14:paraId="4BDE2761">
      <w:pPr>
        <w:spacing w:after="0" w:line="240" w:lineRule="auto"/>
        <w:ind w:right="144"/>
        <w:rPr>
          <w:rFonts w:cs="Calibri"/>
          <w:b/>
        </w:rPr>
      </w:pPr>
    </w:p>
    <w:p w14:paraId="633D09B3">
      <w:pPr>
        <w:spacing w:after="0" w:line="240" w:lineRule="auto"/>
        <w:ind w:right="144"/>
        <w:rPr>
          <w:rFonts w:cs="Calibri"/>
          <w:b/>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0"/>
        <w:gridCol w:w="10"/>
      </w:tblGrid>
      <w:tr w14:paraId="7C652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Pr>
        <w:tc>
          <w:tcPr>
            <w:tcW w:w="10790" w:type="dxa"/>
            <w:tcBorders>
              <w:top w:val="single" w:color="auto" w:sz="4" w:space="0"/>
              <w:left w:val="nil"/>
              <w:bottom w:val="single" w:color="auto" w:sz="4" w:space="0"/>
              <w:right w:val="nil"/>
            </w:tcBorders>
          </w:tcPr>
          <w:p w14:paraId="7C6521A8">
            <w:pPr>
              <w:spacing w:after="0" w:line="240" w:lineRule="auto"/>
              <w:ind w:left="-72" w:right="144"/>
              <w:rPr>
                <w:rFonts w:cstheme="minorHAnsi"/>
                <w:b/>
                <w:bCs/>
                <w:lang w:eastAsia="zh-CN"/>
              </w:rPr>
            </w:pPr>
            <w:r>
              <w:rPr>
                <w:rFonts w:cstheme="minorHAnsi"/>
                <w:b/>
                <w:bCs/>
              </w:rPr>
              <w:t xml:space="preserve">SECTION B – INVESTMENT </w:t>
            </w:r>
            <w:r>
              <w:rPr>
                <w:rFonts w:hint="eastAsia" w:cstheme="minorHAnsi"/>
                <w:b/>
                <w:bCs/>
                <w:lang w:eastAsia="zh-CN"/>
              </w:rPr>
              <w:t>OUTPUTS AND GLOBAL ACCESS</w:t>
            </w:r>
          </w:p>
        </w:tc>
      </w:tr>
      <w:tr w14:paraId="7C652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73AFB6"/>
          <w:tblCellMar>
            <w:top w:w="0" w:type="dxa"/>
            <w:left w:w="108" w:type="dxa"/>
            <w:bottom w:w="0" w:type="dxa"/>
            <w:right w:w="108" w:type="dxa"/>
          </w:tblCellMar>
        </w:tblPrEx>
        <w:trPr>
          <w:trHeight w:val="360" w:hRule="atLeast"/>
        </w:trPr>
        <w:tc>
          <w:tcPr>
            <w:tcW w:w="10800" w:type="dxa"/>
            <w:gridSpan w:val="2"/>
            <w:shd w:val="clear" w:color="auto" w:fill="D0CECE"/>
            <w:vAlign w:val="center"/>
          </w:tcPr>
          <w:p w14:paraId="7C65239C">
            <w:pPr>
              <w:keepNext/>
              <w:spacing w:after="0" w:line="240" w:lineRule="auto"/>
              <w:ind w:right="144"/>
              <w:rPr>
                <w:rFonts w:cstheme="minorHAnsi"/>
                <w:b/>
                <w:color w:val="404040" w:themeColor="text1" w:themeTint="BF"/>
                <w14:textFill>
                  <w14:solidFill>
                    <w14:schemeClr w14:val="tx1">
                      <w14:lumMod w14:val="75000"/>
                      <w14:lumOff w14:val="25000"/>
                    </w14:schemeClr>
                  </w14:solidFill>
                </w14:textFill>
              </w:rPr>
            </w:pPr>
            <w:bookmarkStart w:id="2" w:name="Investment_Results_Section_A"/>
            <w:bookmarkEnd w:id="2"/>
            <w:r>
              <w:rPr>
                <w:rFonts w:eastAsia="Arial,Times New Roman" w:cstheme="minorHAnsi"/>
                <w:b/>
                <w:bCs/>
              </w:rPr>
              <w:t>Investment</w:t>
            </w:r>
            <w:r>
              <w:rPr>
                <w:rFonts w:eastAsia="Arial" w:cstheme="minorHAnsi"/>
                <w:b/>
                <w:bCs/>
              </w:rPr>
              <w:t xml:space="preserve"> Results- Chinese Investigator to </w:t>
            </w:r>
            <w:r>
              <w:rPr>
                <w:rFonts w:cstheme="minorHAnsi"/>
                <w:b/>
                <w:bCs/>
                <w:lang w:eastAsia="zh-CN"/>
              </w:rPr>
              <w:t>Complete</w:t>
            </w:r>
            <w:r>
              <w:rPr>
                <w:rFonts w:eastAsia="Arial" w:cstheme="minorHAnsi"/>
                <w:b/>
                <w:bCs/>
              </w:rPr>
              <w:t xml:space="preserve"> </w:t>
            </w:r>
          </w:p>
        </w:tc>
      </w:tr>
    </w:tbl>
    <w:p w14:paraId="7C65239E">
      <w:pPr>
        <w:keepNext/>
        <w:spacing w:after="0" w:line="240" w:lineRule="auto"/>
        <w:ind w:right="144"/>
        <w:rPr>
          <w:rFonts w:eastAsia="Arial,Times New Roman" w:cstheme="minorHAnsi"/>
          <w:bCs/>
        </w:rPr>
      </w:pPr>
      <w:r>
        <w:rPr>
          <w:rFonts w:eastAsia="Arial,Times New Roman" w:cstheme="minorHAnsi"/>
          <w:b/>
          <w:bCs/>
        </w:rPr>
        <w:t xml:space="preserve">Provide specific details on the outcomes this investment will achieve (including those that define what success is for the investment), and the key outputs that signal whether the investment is on track. </w:t>
      </w:r>
      <w:r>
        <w:rPr>
          <w:rFonts w:eastAsia="Arial,Times New Roman" w:cstheme="minorHAnsi"/>
          <w:bCs/>
        </w:rPr>
        <w:t>Add more rows, as needed.</w:t>
      </w:r>
    </w:p>
    <w:p w14:paraId="7C6523A0">
      <w:pPr>
        <w:keepNext/>
        <w:spacing w:after="0" w:line="240" w:lineRule="auto"/>
        <w:ind w:right="144"/>
        <w:rPr>
          <w:rFonts w:eastAsia="Arial" w:cstheme="minorHAnsi"/>
        </w:rPr>
      </w:pPr>
      <w:r>
        <w:rPr>
          <w:rFonts w:eastAsia="Arial,Times New Roman" w:cstheme="minorHAnsi"/>
          <w:b/>
          <w:bCs/>
        </w:rPr>
        <w:t xml:space="preserve">“Outcome” </w:t>
      </w:r>
      <w:r>
        <w:rPr>
          <w:rFonts w:eastAsia="Arial,Times New Roman" w:cstheme="minorHAnsi"/>
          <w:bCs/>
        </w:rPr>
        <w:t>is the ultimate or overall change(s) in</w:t>
      </w:r>
      <w:r>
        <w:rPr>
          <w:rStyle w:val="17"/>
          <w:rFonts w:cstheme="minorHAnsi"/>
          <w:sz w:val="22"/>
          <w:szCs w:val="22"/>
        </w:rPr>
        <w:t>-</w:t>
      </w:r>
      <w:r>
        <w:rPr>
          <w:rFonts w:eastAsia="Arial,Times New Roman" w:cstheme="minorHAnsi"/>
          <w:bCs/>
        </w:rPr>
        <w:t>systems, populations or behaviors the investment seeks to achieve within the context of the investment time</w:t>
      </w:r>
      <w:r>
        <w:rPr>
          <w:rFonts w:eastAsia="宋体" w:cstheme="minorHAnsi"/>
          <w:bCs/>
          <w:lang w:eastAsia="zh-CN"/>
        </w:rPr>
        <w:t xml:space="preserve"> </w:t>
      </w:r>
      <w:r>
        <w:rPr>
          <w:rFonts w:eastAsia="Arial,Times New Roman" w:cstheme="minorHAnsi"/>
          <w:bCs/>
        </w:rPr>
        <w:t>frame; tells us what success looks like for the investment.</w:t>
      </w:r>
      <w:r>
        <w:t xml:space="preserve"> </w:t>
      </w:r>
      <w:r>
        <w:rPr>
          <w:rFonts w:eastAsia="Arial,Times New Roman" w:cstheme="minorHAnsi"/>
          <w:bCs/>
        </w:rPr>
        <w:t>Add more rows as needed.</w:t>
      </w:r>
    </w:p>
    <w:tbl>
      <w:tblPr>
        <w:tblStyle w:val="11"/>
        <w:tblW w:w="10785" w:type="dxa"/>
        <w:tblInd w:w="0" w:type="dxa"/>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Layout w:type="fixed"/>
        <w:tblCellMar>
          <w:top w:w="86" w:type="dxa"/>
          <w:left w:w="0" w:type="dxa"/>
          <w:bottom w:w="86" w:type="dxa"/>
          <w:right w:w="0" w:type="dxa"/>
        </w:tblCellMar>
      </w:tblPr>
      <w:tblGrid>
        <w:gridCol w:w="1340"/>
        <w:gridCol w:w="3490"/>
        <w:gridCol w:w="2236"/>
        <w:gridCol w:w="3719"/>
      </w:tblGrid>
      <w:tr w14:paraId="7C6523A6">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86" w:type="dxa"/>
            <w:left w:w="0" w:type="dxa"/>
            <w:bottom w:w="86" w:type="dxa"/>
            <w:right w:w="0" w:type="dxa"/>
          </w:tblCellMar>
        </w:tblPrEx>
        <w:trPr>
          <w:cantSplit/>
          <w:trHeight w:val="664" w:hRule="exact"/>
        </w:trPr>
        <w:tc>
          <w:tcPr>
            <w:tcW w:w="1340" w:type="dxa"/>
            <w:shd w:val="clear" w:color="auto" w:fill="auto"/>
          </w:tcPr>
          <w:p w14:paraId="7C6523A1">
            <w:pPr>
              <w:keepNext/>
              <w:spacing w:after="0" w:line="240" w:lineRule="auto"/>
              <w:ind w:left="79" w:right="144"/>
              <w:rPr>
                <w:rFonts w:eastAsia="Times New Roman" w:cstheme="minorHAnsi"/>
                <w:b/>
                <w:bCs/>
              </w:rPr>
            </w:pPr>
            <w:r>
              <w:rPr>
                <w:rFonts w:eastAsia="Arial,Times New Roman" w:cstheme="minorHAnsi"/>
                <w:b/>
                <w:bCs/>
              </w:rPr>
              <w:t>Outcome</w:t>
            </w:r>
            <w:r>
              <w:rPr>
                <w:rFonts w:cstheme="minorHAnsi"/>
              </w:rPr>
              <w:br w:type="textWrapping"/>
            </w:r>
            <w:r>
              <w:rPr>
                <w:rFonts w:eastAsia="Arial,Times New Roman" w:cstheme="minorHAnsi"/>
                <w:b/>
                <w:bCs/>
              </w:rPr>
              <w:t>Number</w:t>
            </w:r>
          </w:p>
        </w:tc>
        <w:tc>
          <w:tcPr>
            <w:tcW w:w="3490" w:type="dxa"/>
            <w:shd w:val="clear" w:color="auto" w:fill="auto"/>
          </w:tcPr>
          <w:p w14:paraId="7C6523A2">
            <w:pPr>
              <w:spacing w:after="0" w:line="240" w:lineRule="auto"/>
              <w:ind w:left="80" w:right="144"/>
              <w:rPr>
                <w:rFonts w:cstheme="minorHAnsi"/>
              </w:rPr>
            </w:pPr>
            <w:r>
              <w:rPr>
                <w:rFonts w:eastAsia="Arial,Times New Roman" w:cstheme="minorHAnsi"/>
                <w:b/>
                <w:bCs/>
              </w:rPr>
              <w:t>Outcome Description</w:t>
            </w:r>
          </w:p>
        </w:tc>
        <w:tc>
          <w:tcPr>
            <w:tcW w:w="2236" w:type="dxa"/>
          </w:tcPr>
          <w:p w14:paraId="7C6523A3">
            <w:pPr>
              <w:spacing w:after="0" w:line="240" w:lineRule="auto"/>
              <w:ind w:left="94" w:right="144"/>
              <w:rPr>
                <w:rFonts w:eastAsia="Times New Roman" w:cstheme="minorHAnsi"/>
                <w:b/>
                <w:bCs/>
              </w:rPr>
            </w:pPr>
            <w:r>
              <w:rPr>
                <w:rFonts w:eastAsia="Arial,Times New Roman" w:cstheme="minorHAnsi"/>
                <w:b/>
                <w:bCs/>
              </w:rPr>
              <w:t xml:space="preserve">Target </w:t>
            </w:r>
            <w:r>
              <w:rPr>
                <w:rFonts w:cstheme="minorHAnsi"/>
              </w:rPr>
              <w:br w:type="textWrapping"/>
            </w:r>
            <w:r>
              <w:rPr>
                <w:rFonts w:eastAsia="Arial,Times New Roman" w:cstheme="minorHAnsi"/>
                <w:b/>
                <w:bCs/>
              </w:rPr>
              <w:t>Completion Date</w:t>
            </w:r>
          </w:p>
        </w:tc>
        <w:tc>
          <w:tcPr>
            <w:tcW w:w="3719" w:type="dxa"/>
          </w:tcPr>
          <w:p w14:paraId="7C6523A5">
            <w:pPr>
              <w:spacing w:after="0" w:line="240" w:lineRule="auto"/>
              <w:ind w:left="85" w:right="144"/>
              <w:rPr>
                <w:rFonts w:eastAsia="Times New Roman" w:cstheme="minorHAnsi"/>
                <w:b/>
                <w:bCs/>
              </w:rPr>
            </w:pPr>
            <w:r>
              <w:rPr>
                <w:rFonts w:eastAsia="Arial,Times New Roman" w:cstheme="minorHAnsi"/>
                <w:b/>
                <w:bCs/>
              </w:rPr>
              <w:t xml:space="preserve">Payment </w:t>
            </w:r>
            <w:r>
              <w:rPr>
                <w:rFonts w:cstheme="minorHAnsi"/>
              </w:rPr>
              <w:br w:type="textWrapping"/>
            </w:r>
            <w:r>
              <w:rPr>
                <w:rFonts w:eastAsia="Arial,Times New Roman" w:cstheme="minorHAnsi"/>
                <w:b/>
                <w:bCs/>
              </w:rPr>
              <w:t>Contingency</w:t>
            </w:r>
          </w:p>
        </w:tc>
      </w:tr>
      <w:tr w14:paraId="7C6523AC">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86" w:type="dxa"/>
            <w:left w:w="0" w:type="dxa"/>
            <w:bottom w:w="86" w:type="dxa"/>
            <w:right w:w="0" w:type="dxa"/>
          </w:tblCellMar>
        </w:tblPrEx>
        <w:trPr>
          <w:trHeight w:val="163" w:hRule="atLeast"/>
        </w:trPr>
        <w:tc>
          <w:tcPr>
            <w:tcW w:w="1340" w:type="dxa"/>
            <w:shd w:val="clear" w:color="auto" w:fill="FEFEFE"/>
          </w:tcPr>
          <w:p w14:paraId="7C6523A7">
            <w:pPr>
              <w:spacing w:after="0" w:line="240" w:lineRule="auto"/>
              <w:ind w:left="79" w:right="144"/>
              <w:rPr>
                <w:rFonts w:eastAsia="Times New Roman" w:cstheme="minorHAnsi"/>
              </w:rPr>
            </w:pPr>
          </w:p>
        </w:tc>
        <w:tc>
          <w:tcPr>
            <w:tcW w:w="3490" w:type="dxa"/>
            <w:shd w:val="clear" w:color="auto" w:fill="FEFEFE"/>
          </w:tcPr>
          <w:p w14:paraId="7C6523A8">
            <w:pPr>
              <w:spacing w:after="0" w:line="240" w:lineRule="auto"/>
              <w:ind w:right="144"/>
              <w:rPr>
                <w:rFonts w:eastAsia="Times New Roman" w:cstheme="minorHAnsi"/>
              </w:rPr>
            </w:pPr>
          </w:p>
        </w:tc>
        <w:tc>
          <w:tcPr>
            <w:tcW w:w="2236" w:type="dxa"/>
            <w:shd w:val="clear" w:color="auto" w:fill="FEFEFE"/>
          </w:tcPr>
          <w:p w14:paraId="7C6523A9">
            <w:pPr>
              <w:spacing w:after="0" w:line="240" w:lineRule="auto"/>
              <w:ind w:right="144" w:firstLine="110" w:firstLineChars="50"/>
              <w:rPr>
                <w:rFonts w:eastAsia="Times New Roman" w:cstheme="minorHAnsi"/>
              </w:rPr>
            </w:pPr>
          </w:p>
        </w:tc>
        <w:tc>
          <w:tcPr>
            <w:tcW w:w="3719" w:type="dxa"/>
            <w:shd w:val="clear" w:color="auto" w:fill="FEFEFE"/>
          </w:tcPr>
          <w:p w14:paraId="7C6523AB">
            <w:pPr>
              <w:spacing w:after="0" w:line="240" w:lineRule="auto"/>
              <w:ind w:left="85" w:right="144"/>
              <w:rPr>
                <w:rFonts w:eastAsia="Times New Roman" w:cstheme="minorHAnsi"/>
              </w:rPr>
            </w:pPr>
          </w:p>
        </w:tc>
      </w:tr>
    </w:tbl>
    <w:p w14:paraId="7C6523BF">
      <w:pPr>
        <w:spacing w:after="0" w:line="240" w:lineRule="auto"/>
        <w:ind w:right="144"/>
        <w:contextualSpacing/>
        <w:rPr>
          <w:rFonts w:eastAsia="Arial" w:cstheme="minorHAnsi"/>
        </w:rPr>
      </w:pPr>
    </w:p>
    <w:p w14:paraId="7C6523C0">
      <w:pPr>
        <w:keepNext/>
        <w:spacing w:after="0" w:line="240" w:lineRule="auto"/>
        <w:ind w:right="144"/>
        <w:rPr>
          <w:rFonts w:eastAsia="Arial,Times New Roman" w:cstheme="minorHAnsi"/>
          <w:bCs/>
        </w:rPr>
      </w:pPr>
      <w:r>
        <w:rPr>
          <w:rFonts w:eastAsia="Arial,Times New Roman" w:cstheme="minorHAnsi"/>
          <w:b/>
          <w:bCs/>
        </w:rPr>
        <w:t xml:space="preserve"> “Output</w:t>
      </w:r>
      <w:r>
        <w:rPr>
          <w:rFonts w:eastAsia="Arial,Times New Roman" w:cstheme="minorHAnsi"/>
          <w:bCs/>
        </w:rPr>
        <w:t>” or “</w:t>
      </w:r>
      <w:r>
        <w:rPr>
          <w:rFonts w:eastAsia="Arial,Times New Roman" w:cstheme="minorHAnsi"/>
          <w:b/>
          <w:bCs/>
        </w:rPr>
        <w:t>Funded Development</w:t>
      </w:r>
      <w:r>
        <w:rPr>
          <w:rFonts w:eastAsia="Arial,Times New Roman" w:cstheme="minorHAnsi"/>
          <w:bCs/>
        </w:rPr>
        <w:t>” means the products, services, processes, technologies, materials, software, data, other innovations, and intellectual property resulting from the Project (including modifications, improvements, and further developments to Background Technology). Note: You will be required to disclose and update Intellectual Property (IP) and include any links to applications, filings, or registrations, as applicable, in future progress report(s).</w:t>
      </w:r>
      <w:r>
        <w:t xml:space="preserve"> </w:t>
      </w:r>
      <w:r>
        <w:rPr>
          <w:rFonts w:eastAsia="Arial,Times New Roman" w:cstheme="minorHAnsi"/>
          <w:bCs/>
        </w:rPr>
        <w:t>Add more rows as needed.</w:t>
      </w:r>
    </w:p>
    <w:tbl>
      <w:tblPr>
        <w:tblStyle w:val="11"/>
        <w:tblW w:w="10785" w:type="dxa"/>
        <w:tblInd w:w="0" w:type="dxa"/>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Layout w:type="fixed"/>
        <w:tblCellMar>
          <w:top w:w="86" w:type="dxa"/>
          <w:left w:w="0" w:type="dxa"/>
          <w:bottom w:w="86" w:type="dxa"/>
          <w:right w:w="0" w:type="dxa"/>
        </w:tblCellMar>
      </w:tblPr>
      <w:tblGrid>
        <w:gridCol w:w="1695"/>
        <w:gridCol w:w="1710"/>
        <w:gridCol w:w="1350"/>
        <w:gridCol w:w="1440"/>
        <w:gridCol w:w="1800"/>
        <w:gridCol w:w="2790"/>
      </w:tblGrid>
      <w:tr w14:paraId="7C6523C8">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86" w:type="dxa"/>
            <w:left w:w="0" w:type="dxa"/>
            <w:bottom w:w="86" w:type="dxa"/>
            <w:right w:w="0" w:type="dxa"/>
          </w:tblCellMar>
        </w:tblPrEx>
        <w:trPr>
          <w:cantSplit/>
          <w:trHeight w:val="1259" w:hRule="exact"/>
        </w:trPr>
        <w:tc>
          <w:tcPr>
            <w:tcW w:w="1695" w:type="dxa"/>
            <w:shd w:val="clear" w:color="auto" w:fill="auto"/>
          </w:tcPr>
          <w:p w14:paraId="7C6523C1">
            <w:pPr>
              <w:keepNext/>
              <w:spacing w:after="0" w:line="240" w:lineRule="auto"/>
              <w:ind w:left="79" w:right="144"/>
              <w:rPr>
                <w:rFonts w:eastAsia="Times New Roman" w:cstheme="minorHAnsi"/>
                <w:b/>
                <w:bCs/>
              </w:rPr>
            </w:pPr>
            <w:r>
              <w:rPr>
                <w:rFonts w:eastAsia="Arial,Times New Roman" w:cstheme="minorHAnsi"/>
                <w:b/>
                <w:bCs/>
              </w:rPr>
              <w:t>Output/Funded Development Number</w:t>
            </w:r>
          </w:p>
        </w:tc>
        <w:tc>
          <w:tcPr>
            <w:tcW w:w="1710" w:type="dxa"/>
            <w:shd w:val="clear" w:color="auto" w:fill="auto"/>
          </w:tcPr>
          <w:p w14:paraId="7C6523C2">
            <w:pPr>
              <w:spacing w:after="0" w:line="240" w:lineRule="auto"/>
              <w:ind w:left="80" w:right="144"/>
              <w:rPr>
                <w:rFonts w:cstheme="minorHAnsi"/>
              </w:rPr>
            </w:pPr>
            <w:r>
              <w:rPr>
                <w:rFonts w:eastAsia="Arial,Times New Roman" w:cstheme="minorHAnsi"/>
                <w:b/>
                <w:bCs/>
              </w:rPr>
              <w:t>Output/Funded Development</w:t>
            </w:r>
            <w:r>
              <w:rPr>
                <w:rFonts w:cstheme="minorHAnsi"/>
              </w:rPr>
              <w:br w:type="textWrapping"/>
            </w:r>
            <w:r>
              <w:rPr>
                <w:rFonts w:eastAsia="Arial,Times New Roman" w:cstheme="minorHAnsi"/>
                <w:b/>
                <w:bCs/>
              </w:rPr>
              <w:t>Description</w:t>
            </w:r>
          </w:p>
        </w:tc>
        <w:tc>
          <w:tcPr>
            <w:tcW w:w="1350" w:type="dxa"/>
          </w:tcPr>
          <w:p w14:paraId="7C6523C3">
            <w:pPr>
              <w:spacing w:after="0" w:line="240" w:lineRule="auto"/>
              <w:ind w:left="94" w:right="144"/>
              <w:rPr>
                <w:rFonts w:eastAsia="Times New Roman" w:cstheme="minorHAnsi"/>
                <w:b/>
                <w:bCs/>
              </w:rPr>
            </w:pPr>
            <w:r>
              <w:rPr>
                <w:rFonts w:eastAsia="Arial,Times New Roman" w:cstheme="minorHAnsi"/>
                <w:b/>
                <w:bCs/>
              </w:rPr>
              <w:t xml:space="preserve">Target </w:t>
            </w:r>
            <w:r>
              <w:rPr>
                <w:rFonts w:cstheme="minorHAnsi"/>
              </w:rPr>
              <w:br w:type="textWrapping"/>
            </w:r>
            <w:r>
              <w:rPr>
                <w:rFonts w:eastAsia="Arial,Times New Roman" w:cstheme="minorHAnsi"/>
                <w:b/>
                <w:bCs/>
              </w:rPr>
              <w:t>Completion Date</w:t>
            </w:r>
          </w:p>
        </w:tc>
        <w:tc>
          <w:tcPr>
            <w:tcW w:w="1440" w:type="dxa"/>
          </w:tcPr>
          <w:p w14:paraId="7C6523C5">
            <w:pPr>
              <w:spacing w:after="0" w:line="240" w:lineRule="auto"/>
              <w:ind w:left="85" w:right="144"/>
              <w:rPr>
                <w:rFonts w:eastAsia="Times New Roman" w:cstheme="minorHAnsi"/>
                <w:b/>
                <w:bCs/>
              </w:rPr>
            </w:pPr>
            <w:r>
              <w:rPr>
                <w:rFonts w:eastAsia="Arial,Times New Roman" w:cstheme="minorHAnsi"/>
                <w:b/>
                <w:bCs/>
              </w:rPr>
              <w:t xml:space="preserve">Payment </w:t>
            </w:r>
            <w:r>
              <w:rPr>
                <w:rFonts w:cstheme="minorHAnsi"/>
              </w:rPr>
              <w:br w:type="textWrapping"/>
            </w:r>
            <w:r>
              <w:rPr>
                <w:rFonts w:eastAsia="Arial,Times New Roman" w:cstheme="minorHAnsi"/>
                <w:b/>
                <w:bCs/>
              </w:rPr>
              <w:t>Contingency</w:t>
            </w:r>
          </w:p>
        </w:tc>
        <w:tc>
          <w:tcPr>
            <w:tcW w:w="1800" w:type="dxa"/>
          </w:tcPr>
          <w:p w14:paraId="7C6523C6">
            <w:pPr>
              <w:spacing w:after="0" w:line="240" w:lineRule="auto"/>
              <w:ind w:left="85" w:right="144"/>
              <w:rPr>
                <w:rFonts w:eastAsia="Arial,Times New Roman" w:cstheme="minorHAnsi"/>
                <w:b/>
                <w:bCs/>
              </w:rPr>
            </w:pPr>
            <w:r>
              <w:rPr>
                <w:rFonts w:eastAsia="Arial,Times New Roman" w:cstheme="minorHAnsi"/>
                <w:b/>
                <w:bCs/>
              </w:rPr>
              <w:t xml:space="preserve">Third-Party agreement required? </w:t>
            </w:r>
            <w:r>
              <w:rPr>
                <w:rFonts w:eastAsia="Arial,Times New Roman" w:cstheme="minorHAnsi"/>
                <w:b/>
                <w:bCs/>
              </w:rPr>
              <w:br w:type="textWrapping"/>
            </w:r>
            <w:r>
              <w:rPr>
                <w:rFonts w:eastAsia="Arial,Times New Roman" w:cstheme="minorHAnsi"/>
                <w:bCs/>
              </w:rPr>
              <w:t>If yes, by when?</w:t>
            </w:r>
          </w:p>
        </w:tc>
        <w:tc>
          <w:tcPr>
            <w:tcW w:w="2790" w:type="dxa"/>
          </w:tcPr>
          <w:p w14:paraId="7C6523C7">
            <w:pPr>
              <w:spacing w:after="0" w:line="240" w:lineRule="auto"/>
              <w:ind w:left="85" w:right="144"/>
              <w:rPr>
                <w:rFonts w:eastAsia="Arial,Times New Roman" w:cstheme="minorHAnsi"/>
                <w:b/>
                <w:bCs/>
              </w:rPr>
            </w:pPr>
            <w:r>
              <w:rPr>
                <w:rFonts w:eastAsia="Arial,Times New Roman" w:cstheme="minorHAnsi"/>
                <w:b/>
                <w:bCs/>
              </w:rPr>
              <w:t>Will any IP rights be filed/</w:t>
            </w:r>
            <w:r>
              <w:rPr>
                <w:rFonts w:eastAsia="Arial,Times New Roman" w:cstheme="minorHAnsi"/>
                <w:b/>
                <w:bCs/>
              </w:rPr>
              <w:br w:type="textWrapping"/>
            </w:r>
            <w:r>
              <w:rPr>
                <w:rFonts w:eastAsia="Arial,Times New Roman" w:cstheme="minorHAnsi"/>
                <w:b/>
                <w:bCs/>
              </w:rPr>
              <w:t>generated?</w:t>
            </w:r>
          </w:p>
        </w:tc>
      </w:tr>
      <w:tr w14:paraId="7C6523D1">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86" w:type="dxa"/>
            <w:left w:w="0" w:type="dxa"/>
            <w:bottom w:w="86" w:type="dxa"/>
            <w:right w:w="0" w:type="dxa"/>
          </w:tblCellMar>
        </w:tblPrEx>
        <w:trPr>
          <w:trHeight w:val="163" w:hRule="atLeast"/>
        </w:trPr>
        <w:tc>
          <w:tcPr>
            <w:tcW w:w="1695" w:type="dxa"/>
            <w:shd w:val="clear" w:color="auto" w:fill="FEFEFE"/>
          </w:tcPr>
          <w:p w14:paraId="7C6523C9">
            <w:pPr>
              <w:spacing w:after="0" w:line="240" w:lineRule="auto"/>
              <w:ind w:left="79" w:right="144"/>
              <w:rPr>
                <w:rFonts w:cstheme="minorHAnsi"/>
                <w:lang w:eastAsia="zh-CN"/>
              </w:rPr>
            </w:pPr>
          </w:p>
        </w:tc>
        <w:tc>
          <w:tcPr>
            <w:tcW w:w="1710" w:type="dxa"/>
            <w:shd w:val="clear" w:color="auto" w:fill="FEFEFE"/>
          </w:tcPr>
          <w:p w14:paraId="7C6523CA">
            <w:pPr>
              <w:spacing w:after="0" w:line="240" w:lineRule="auto"/>
              <w:ind w:left="80" w:right="144"/>
              <w:rPr>
                <w:rFonts w:cstheme="minorHAnsi"/>
                <w:lang w:eastAsia="zh-CN"/>
              </w:rPr>
            </w:pPr>
          </w:p>
        </w:tc>
        <w:tc>
          <w:tcPr>
            <w:tcW w:w="1350" w:type="dxa"/>
            <w:shd w:val="clear" w:color="auto" w:fill="FEFEFE"/>
          </w:tcPr>
          <w:p w14:paraId="7C6523CB">
            <w:pPr>
              <w:spacing w:after="0" w:line="240" w:lineRule="auto"/>
              <w:ind w:right="144" w:firstLine="110" w:firstLineChars="50"/>
              <w:rPr>
                <w:rFonts w:cstheme="minorHAnsi"/>
                <w:lang w:eastAsia="zh-CN"/>
              </w:rPr>
            </w:pPr>
          </w:p>
        </w:tc>
        <w:tc>
          <w:tcPr>
            <w:tcW w:w="1440" w:type="dxa"/>
            <w:shd w:val="clear" w:color="auto" w:fill="FEFEFE"/>
          </w:tcPr>
          <w:p w14:paraId="7C6523CE">
            <w:pPr>
              <w:spacing w:after="0" w:line="240" w:lineRule="auto"/>
              <w:ind w:left="85" w:right="144"/>
              <w:rPr>
                <w:rFonts w:cstheme="minorHAnsi"/>
                <w:lang w:eastAsia="zh-CN"/>
              </w:rPr>
            </w:pPr>
          </w:p>
        </w:tc>
        <w:tc>
          <w:tcPr>
            <w:tcW w:w="1800" w:type="dxa"/>
            <w:shd w:val="clear" w:color="auto" w:fill="FEFEFE"/>
          </w:tcPr>
          <w:p w14:paraId="7C6523CF">
            <w:pPr>
              <w:spacing w:after="0" w:line="240" w:lineRule="auto"/>
              <w:ind w:left="79" w:right="144"/>
              <w:rPr>
                <w:rFonts w:cstheme="minorHAnsi"/>
                <w:lang w:eastAsia="zh-CN"/>
              </w:rPr>
            </w:pPr>
          </w:p>
        </w:tc>
        <w:tc>
          <w:tcPr>
            <w:tcW w:w="2790" w:type="dxa"/>
            <w:shd w:val="clear" w:color="auto" w:fill="FEFEFE"/>
          </w:tcPr>
          <w:p w14:paraId="7C6523D0">
            <w:pPr>
              <w:spacing w:after="0" w:line="240" w:lineRule="auto"/>
              <w:ind w:left="80" w:right="144"/>
              <w:rPr>
                <w:rFonts w:cstheme="minorHAnsi"/>
                <w:lang w:eastAsia="zh-CN"/>
              </w:rPr>
            </w:pPr>
          </w:p>
        </w:tc>
      </w:tr>
    </w:tbl>
    <w:p w14:paraId="7C6523E4">
      <w:pPr>
        <w:spacing w:after="0" w:line="240" w:lineRule="auto"/>
        <w:ind w:right="144"/>
        <w:rPr>
          <w:rFonts w:cstheme="minorHAnsi"/>
          <w:bCs/>
          <w:lang w:eastAsia="zh-CN"/>
        </w:rPr>
      </w:pPr>
    </w:p>
    <w:tbl>
      <w:tblPr>
        <w:tblStyle w:val="12"/>
        <w:tblW w:w="108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73AFB6"/>
        <w:tblLayout w:type="autofit"/>
        <w:tblCellMar>
          <w:top w:w="0" w:type="dxa"/>
          <w:left w:w="108" w:type="dxa"/>
          <w:bottom w:w="0" w:type="dxa"/>
          <w:right w:w="108" w:type="dxa"/>
        </w:tblCellMar>
      </w:tblPr>
      <w:tblGrid>
        <w:gridCol w:w="10800"/>
      </w:tblGrid>
      <w:tr w14:paraId="7C652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73AFB6"/>
        </w:tblPrEx>
        <w:trPr>
          <w:trHeight w:val="360" w:hRule="atLeast"/>
        </w:trPr>
        <w:tc>
          <w:tcPr>
            <w:tcW w:w="10800" w:type="dxa"/>
            <w:shd w:val="clear" w:color="auto" w:fill="D0CECE"/>
            <w:vAlign w:val="center"/>
          </w:tcPr>
          <w:p w14:paraId="7C6523E5">
            <w:pPr>
              <w:keepNext/>
              <w:spacing w:after="0" w:line="240" w:lineRule="auto"/>
              <w:ind w:right="144"/>
              <w:rPr>
                <w:rFonts w:cstheme="minorHAnsi"/>
                <w:b/>
                <w:bCs/>
                <w:color w:val="404040" w:themeColor="text1" w:themeTint="BF"/>
                <w14:textFill>
                  <w14:solidFill>
                    <w14:schemeClr w14:val="tx1">
                      <w14:lumMod w14:val="75000"/>
                      <w14:lumOff w14:val="25000"/>
                    </w14:schemeClr>
                  </w14:solidFill>
                </w14:textFill>
              </w:rPr>
            </w:pPr>
            <w:r>
              <w:rPr>
                <w:rFonts w:eastAsia="Arial" w:cstheme="minorHAnsi"/>
                <w:b/>
                <w:bCs/>
              </w:rPr>
              <w:t xml:space="preserve">Global </w:t>
            </w:r>
            <w:r>
              <w:rPr>
                <w:rFonts w:eastAsia="Arial,Times New Roman" w:cstheme="minorHAnsi"/>
                <w:b/>
                <w:bCs/>
              </w:rPr>
              <w:t>Access</w:t>
            </w:r>
            <w:r>
              <w:rPr>
                <w:rFonts w:eastAsia="Arial" w:cstheme="minorHAnsi"/>
                <w:b/>
                <w:bCs/>
              </w:rPr>
              <w:t>/Impact for Foundation’s Beneficiaries – Chinese Investigator to Complete</w:t>
            </w:r>
          </w:p>
        </w:tc>
      </w:tr>
    </w:tbl>
    <w:p w14:paraId="7C6523E7">
      <w:pPr>
        <w:spacing w:after="0" w:line="240" w:lineRule="auto"/>
        <w:ind w:right="144"/>
        <w:rPr>
          <w:rFonts w:cstheme="minorHAnsi"/>
          <w:b/>
          <w:bCs/>
        </w:rPr>
      </w:pPr>
      <w:r>
        <w:rPr>
          <w:rFonts w:cstheme="minorHAnsi"/>
          <w:b/>
          <w:bCs/>
        </w:rPr>
        <w:t>To ensure a positive impact on the foundation’s intended beneficiaries, the foundation requires that all Projects and outputs be managed to ensure Global Access.</w:t>
      </w:r>
      <w:r>
        <w:rPr>
          <w:rFonts w:eastAsia="Arial,Times New Roman" w:cstheme="minorHAnsi"/>
          <w:b/>
          <w:bCs/>
        </w:rPr>
        <w:t xml:space="preserve"> You will be requested to update the responses below, as may be applicable, in future progress reports.</w:t>
      </w:r>
    </w:p>
    <w:p w14:paraId="7C6523E8">
      <w:pPr>
        <w:spacing w:after="0" w:line="240" w:lineRule="auto"/>
        <w:ind w:right="144"/>
        <w:rPr>
          <w:rFonts w:cstheme="minorHAnsi"/>
        </w:rPr>
      </w:pPr>
      <w:r>
        <w:rPr>
          <w:rFonts w:cstheme="minorHAnsi"/>
          <w:b/>
          <w:bCs/>
        </w:rPr>
        <w:t>“Global Access”</w:t>
      </w:r>
      <w:r>
        <w:rPr>
          <w:rFonts w:cstheme="minorHAnsi"/>
        </w:rPr>
        <w:t xml:space="preserve"> is a foundation policy requiring that: (a) the knowledge and information gained from the Project will be promptly and broadly disseminated; and (b) the Funded Developments will be made available and accessible at an affordable price (i) to people most in need within developing countries, or (ii) in support of the U.S. educational system and public libraries, as applicable to the Project.</w:t>
      </w:r>
    </w:p>
    <w:p w14:paraId="7C6523E9">
      <w:pPr>
        <w:spacing w:after="0" w:line="240" w:lineRule="auto"/>
        <w:ind w:right="144"/>
        <w:rPr>
          <w:rFonts w:cstheme="minorHAnsi"/>
        </w:rPr>
      </w:pPr>
      <w:r>
        <w:rPr>
          <w:rFonts w:cstheme="minorHAnsi"/>
          <w:b/>
          <w:bCs/>
        </w:rPr>
        <w:t>“Funded Developments”</w:t>
      </w:r>
      <w:r>
        <w:rPr>
          <w:rFonts w:cstheme="minorHAnsi"/>
          <w:b/>
          <w:bCs/>
          <w:lang w:eastAsia="zh-CN"/>
        </w:rPr>
        <w:t xml:space="preserve"> </w:t>
      </w:r>
      <w:r>
        <w:rPr>
          <w:rFonts w:cstheme="minorHAnsi"/>
        </w:rPr>
        <w:t xml:space="preserve">means the products, services, processes, technologies, materials, software, data, other innovations, and intellectual property resulting from the Project (including modifications, improvements, and further developments to Background Technology). </w:t>
      </w:r>
    </w:p>
    <w:p w14:paraId="7C6523EA">
      <w:pPr>
        <w:spacing w:after="0" w:line="240" w:lineRule="auto"/>
        <w:ind w:right="144"/>
        <w:rPr>
          <w:rFonts w:cstheme="minorHAnsi"/>
        </w:rPr>
      </w:pPr>
      <w:r>
        <w:rPr>
          <w:rFonts w:cstheme="minorHAnsi"/>
          <w:b/>
          <w:bCs/>
        </w:rPr>
        <w:t>“Background Technology”</w:t>
      </w:r>
      <w:r>
        <w:rPr>
          <w:rFonts w:cstheme="minorHAnsi"/>
        </w:rPr>
        <w:t xml:space="preserve"> means any and all products, services, processes, technologies, materials, software, data, or other innovations, and intellectual property created by You or a third party prior to or outside of the Project used as part of the Project.</w:t>
      </w:r>
    </w:p>
    <w:p w14:paraId="7C6523EB">
      <w:pPr>
        <w:pStyle w:val="19"/>
        <w:numPr>
          <w:ilvl w:val="0"/>
          <w:numId w:val="4"/>
        </w:numPr>
        <w:spacing w:after="0" w:line="240" w:lineRule="auto"/>
        <w:ind w:right="144"/>
        <w:rPr>
          <w:rFonts w:cstheme="minorHAnsi"/>
          <w:b/>
          <w:bCs/>
        </w:rPr>
      </w:pPr>
      <w:r>
        <w:rPr>
          <w:rFonts w:cstheme="minorHAnsi"/>
          <w:b/>
          <w:bCs/>
        </w:rPr>
        <w:t xml:space="preserve">How will You disseminate the knowledge and information arising from the Project? (For peer-reviewed publications see our </w:t>
      </w:r>
      <w:r>
        <w:fldChar w:fldCharType="begin"/>
      </w:r>
      <w:r>
        <w:instrText xml:space="preserve"> HYPERLINK "https://www.gatesfoundation.org/How-We-Work/General-Information/Open-Access-Policy" </w:instrText>
      </w:r>
      <w:r>
        <w:fldChar w:fldCharType="separate"/>
      </w:r>
      <w:r>
        <w:rPr>
          <w:rStyle w:val="16"/>
          <w:rFonts w:cstheme="minorHAnsi"/>
          <w:b/>
          <w:bCs/>
        </w:rPr>
        <w:t>Open Access policy.)</w:t>
      </w:r>
      <w:r>
        <w:rPr>
          <w:rStyle w:val="16"/>
          <w:rFonts w:cstheme="minorHAnsi"/>
          <w:b/>
          <w:bCs/>
        </w:rPr>
        <w:fldChar w:fldCharType="end"/>
      </w:r>
    </w:p>
    <w:tbl>
      <w:tblPr>
        <w:tblStyle w:val="12"/>
        <w:tblW w:w="0" w:type="auto"/>
        <w:tblInd w:w="435" w:type="dxa"/>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Layout w:type="autofit"/>
        <w:tblCellMar>
          <w:top w:w="0" w:type="dxa"/>
          <w:left w:w="108" w:type="dxa"/>
          <w:bottom w:w="0" w:type="dxa"/>
          <w:right w:w="108" w:type="dxa"/>
        </w:tblCellMar>
      </w:tblPr>
      <w:tblGrid>
        <w:gridCol w:w="10335"/>
      </w:tblGrid>
      <w:tr w14:paraId="7C6523ED">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0" w:type="dxa"/>
            <w:left w:w="108" w:type="dxa"/>
            <w:bottom w:w="0" w:type="dxa"/>
            <w:right w:w="108" w:type="dxa"/>
          </w:tblCellMar>
        </w:tblPrEx>
        <w:trPr>
          <w:trHeight w:val="432" w:hRule="atLeast"/>
        </w:trPr>
        <w:tc>
          <w:tcPr>
            <w:tcW w:w="10335" w:type="dxa"/>
          </w:tcPr>
          <w:p w14:paraId="7C6523EC">
            <w:pPr>
              <w:spacing w:after="0" w:line="240" w:lineRule="auto"/>
              <w:ind w:right="144"/>
              <w:rPr>
                <w:rFonts w:cstheme="minorHAnsi"/>
                <w:lang w:eastAsia="zh-CN"/>
              </w:rPr>
            </w:pPr>
          </w:p>
        </w:tc>
      </w:tr>
    </w:tbl>
    <w:p w14:paraId="7C6523EE">
      <w:pPr>
        <w:pStyle w:val="19"/>
        <w:numPr>
          <w:ilvl w:val="0"/>
          <w:numId w:val="4"/>
        </w:numPr>
        <w:spacing w:after="0" w:line="240" w:lineRule="auto"/>
        <w:ind w:right="144"/>
        <w:rPr>
          <w:rFonts w:cstheme="minorHAnsi"/>
          <w:b/>
          <w:bCs/>
        </w:rPr>
      </w:pPr>
      <w:r>
        <w:rPr>
          <w:rFonts w:cstheme="minorHAnsi"/>
          <w:b/>
          <w:bCs/>
        </w:rPr>
        <w:t xml:space="preserve">How will You ensure affordable and meaningful access to the Funded Developments arising from the Project (and Background Technology, if any)?  </w:t>
      </w:r>
    </w:p>
    <w:tbl>
      <w:tblPr>
        <w:tblStyle w:val="12"/>
        <w:tblW w:w="0" w:type="auto"/>
        <w:tblInd w:w="435" w:type="dxa"/>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Layout w:type="autofit"/>
        <w:tblCellMar>
          <w:top w:w="0" w:type="dxa"/>
          <w:left w:w="108" w:type="dxa"/>
          <w:bottom w:w="0" w:type="dxa"/>
          <w:right w:w="108" w:type="dxa"/>
        </w:tblCellMar>
      </w:tblPr>
      <w:tblGrid>
        <w:gridCol w:w="10335"/>
      </w:tblGrid>
      <w:tr w14:paraId="7C6523F1">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0" w:type="dxa"/>
            <w:left w:w="108" w:type="dxa"/>
            <w:bottom w:w="0" w:type="dxa"/>
            <w:right w:w="108" w:type="dxa"/>
          </w:tblCellMar>
        </w:tblPrEx>
        <w:trPr>
          <w:trHeight w:val="432" w:hRule="atLeast"/>
        </w:trPr>
        <w:tc>
          <w:tcPr>
            <w:tcW w:w="10335" w:type="dxa"/>
          </w:tcPr>
          <w:p w14:paraId="7C6523F0">
            <w:pPr>
              <w:spacing w:after="0" w:line="240" w:lineRule="auto"/>
              <w:ind w:right="144"/>
              <w:rPr>
                <w:rFonts w:cstheme="minorHAnsi"/>
                <w:lang w:eastAsia="zh-CN"/>
              </w:rPr>
            </w:pPr>
          </w:p>
        </w:tc>
      </w:tr>
    </w:tbl>
    <w:p w14:paraId="7C6523F2">
      <w:pPr>
        <w:pStyle w:val="19"/>
        <w:numPr>
          <w:ilvl w:val="0"/>
          <w:numId w:val="4"/>
        </w:numPr>
        <w:spacing w:after="0" w:line="240" w:lineRule="auto"/>
        <w:ind w:right="144"/>
        <w:contextualSpacing w:val="0"/>
        <w:rPr>
          <w:rFonts w:cstheme="minorHAnsi"/>
          <w:b/>
          <w:bCs/>
        </w:rPr>
      </w:pPr>
      <w:r>
        <w:rPr>
          <w:rFonts w:eastAsia="Arial,Times New Roman" w:cstheme="minorHAnsi"/>
          <w:b/>
          <w:bCs/>
        </w:rPr>
        <w:t>Do You foresee any obstacles to achieving Global Access (e.g., third-party rights,</w:t>
      </w:r>
      <w:r>
        <w:rPr>
          <w:rFonts w:cstheme="minorHAnsi"/>
          <w:b/>
          <w:bCs/>
          <w:lang w:eastAsia="zh-CN"/>
        </w:rPr>
        <w:t xml:space="preserve"> </w:t>
      </w:r>
      <w:r>
        <w:rPr>
          <w:rFonts w:eastAsia="Arial,Times New Roman" w:cstheme="minorHAnsi"/>
          <w:b/>
          <w:bCs/>
        </w:rPr>
        <w:t xml:space="preserve">restrictions on Background Technology, time frame, affordability)? </w:t>
      </w:r>
    </w:p>
    <w:p w14:paraId="7C6523F3">
      <w:pPr>
        <w:pStyle w:val="19"/>
        <w:spacing w:after="0" w:line="240" w:lineRule="auto"/>
        <w:ind w:left="450" w:right="144"/>
        <w:contextualSpacing w:val="0"/>
        <w:rPr>
          <w:rFonts w:cstheme="minorHAnsi"/>
        </w:rPr>
      </w:pPr>
      <w:r>
        <w:rPr>
          <w:rFonts w:cstheme="minorHAnsi"/>
          <w:b/>
          <w:bCs/>
        </w:rPr>
        <w:t>No</w:t>
      </w:r>
      <w:r>
        <w:rPr>
          <w:rFonts w:cstheme="minorHAnsi"/>
          <w:b/>
          <w:bCs/>
          <w:u w:val="single"/>
        </w:rPr>
        <w:t>___</w:t>
      </w:r>
    </w:p>
    <w:p w14:paraId="7C6523F4">
      <w:pPr>
        <w:pStyle w:val="19"/>
        <w:spacing w:after="0" w:line="240" w:lineRule="auto"/>
        <w:ind w:left="450" w:right="144"/>
        <w:rPr>
          <w:rFonts w:cstheme="minorHAnsi"/>
          <w:b/>
          <w:bCs/>
        </w:rPr>
      </w:pPr>
      <w:r>
        <w:rPr>
          <w:rFonts w:cstheme="minorHAnsi"/>
          <w:b/>
          <w:bCs/>
        </w:rPr>
        <w:t>Yes</w:t>
      </w:r>
      <w:r>
        <w:rPr>
          <w:rFonts w:cstheme="minorHAnsi"/>
          <w:b/>
          <w:bCs/>
          <w:u w:val="single"/>
        </w:rPr>
        <w:t>____</w:t>
      </w:r>
      <w:r>
        <w:rPr>
          <w:rFonts w:cstheme="minorHAnsi"/>
          <w:b/>
          <w:bCs/>
        </w:rPr>
        <w:t xml:space="preserve"> (please explain</w:t>
      </w:r>
      <w:r>
        <w:rPr>
          <w:rFonts w:cstheme="minorHAnsi"/>
          <w:b/>
          <w:bCs/>
          <w:lang w:eastAsia="zh-CN"/>
        </w:rPr>
        <w:t xml:space="preserve"> </w:t>
      </w:r>
      <w:r>
        <w:rPr>
          <w:rFonts w:eastAsia="Arial,Times New Roman" w:cstheme="minorHAnsi"/>
          <w:b/>
          <w:bCs/>
        </w:rPr>
        <w:t xml:space="preserve">and describe the specific steps that You will take to address them).  </w:t>
      </w:r>
    </w:p>
    <w:tbl>
      <w:tblPr>
        <w:tblStyle w:val="12"/>
        <w:tblW w:w="0" w:type="auto"/>
        <w:tblInd w:w="435" w:type="dxa"/>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Layout w:type="autofit"/>
        <w:tblCellMar>
          <w:top w:w="0" w:type="dxa"/>
          <w:left w:w="108" w:type="dxa"/>
          <w:bottom w:w="0" w:type="dxa"/>
          <w:right w:w="108" w:type="dxa"/>
        </w:tblCellMar>
      </w:tblPr>
      <w:tblGrid>
        <w:gridCol w:w="10335"/>
      </w:tblGrid>
      <w:tr w14:paraId="7C6523F6">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0" w:type="dxa"/>
            <w:left w:w="108" w:type="dxa"/>
            <w:bottom w:w="0" w:type="dxa"/>
            <w:right w:w="108" w:type="dxa"/>
          </w:tblCellMar>
        </w:tblPrEx>
        <w:trPr>
          <w:trHeight w:val="432" w:hRule="atLeast"/>
        </w:trPr>
        <w:tc>
          <w:tcPr>
            <w:tcW w:w="10335" w:type="dxa"/>
          </w:tcPr>
          <w:p w14:paraId="7C6523F5">
            <w:pPr>
              <w:pStyle w:val="19"/>
              <w:spacing w:after="0" w:line="240" w:lineRule="auto"/>
              <w:ind w:left="450" w:right="144"/>
              <w:contextualSpacing w:val="0"/>
              <w:rPr>
                <w:rFonts w:cstheme="minorHAnsi"/>
              </w:rPr>
            </w:pPr>
          </w:p>
        </w:tc>
      </w:tr>
    </w:tbl>
    <w:p w14:paraId="7C6523F7">
      <w:pPr>
        <w:pStyle w:val="19"/>
        <w:keepNext/>
        <w:numPr>
          <w:ilvl w:val="0"/>
          <w:numId w:val="4"/>
        </w:numPr>
        <w:spacing w:after="0" w:line="240" w:lineRule="auto"/>
        <w:ind w:right="144"/>
        <w:contextualSpacing w:val="0"/>
        <w:rPr>
          <w:rFonts w:eastAsia="Arial,Times New Roman" w:cstheme="minorHAnsi"/>
          <w:b/>
          <w:bCs/>
        </w:rPr>
      </w:pPr>
      <w:r>
        <w:rPr>
          <w:rFonts w:eastAsia="Arial,Times New Roman" w:cstheme="minorHAnsi"/>
          <w:b/>
          <w:bCs/>
        </w:rPr>
        <w:t>Please confirm that You will make available for Global Access purposes the Funded Developments and any Background Technology that is (i) owned, controlled, or developed by You, or in-licensed with the right to sublicense; and (ii) either incorporated into a Funded Development or reasonably required to use the Funded Development.</w:t>
      </w:r>
      <w:r>
        <w:rPr>
          <w:rFonts w:cstheme="minorHAnsi"/>
          <w:b/>
          <w:bCs/>
          <w:lang w:eastAsia="zh-CN"/>
        </w:rPr>
        <w:t xml:space="preserve"> </w:t>
      </w:r>
      <w:r>
        <w:rPr>
          <w:rFonts w:eastAsia="Arial,Times New Roman" w:cstheme="minorHAnsi"/>
          <w:bCs/>
        </w:rPr>
        <w:t xml:space="preserve">See the Global Access terms located in the foundation’s </w:t>
      </w:r>
      <w:bookmarkStart w:id="3" w:name="_Hlk1639136"/>
      <w:r>
        <w:rPr>
          <w:rFonts w:eastAsia="Arial,Times New Roman" w:cstheme="minorHAnsi"/>
          <w:bCs/>
          <w:color w:val="4472C4" w:themeColor="accent1"/>
          <w:u w:val="single"/>
          <w14:textFill>
            <w14:solidFill>
              <w14:schemeClr w14:val="accent1"/>
            </w14:solidFill>
          </w14:textFill>
        </w:rPr>
        <w:fldChar w:fldCharType="begin"/>
      </w:r>
      <w:r>
        <w:rPr>
          <w:rFonts w:eastAsia="Arial,Times New Roman" w:cstheme="minorHAnsi"/>
          <w:bCs/>
          <w:color w:val="4472C4" w:themeColor="accent1"/>
          <w:u w:val="single"/>
          <w14:textFill>
            <w14:solidFill>
              <w14:schemeClr w14:val="accent1"/>
            </w14:solidFill>
          </w14:textFill>
        </w:rPr>
        <w:instrText xml:space="preserve"> HYPERLINK "https://docs.gatesfoundation.org/Documents/Sample-Terms-and-Conditions.pdf"</w:instrText>
      </w:r>
      <w:r>
        <w:rPr>
          <w:rFonts w:eastAsia="Arial,Times New Roman" w:cstheme="minorHAnsi"/>
          <w:bCs/>
          <w:color w:val="4472C4" w:themeColor="accent1"/>
          <w:u w:val="single"/>
          <w14:textFill>
            <w14:solidFill>
              <w14:schemeClr w14:val="accent1"/>
            </w14:solidFill>
          </w14:textFill>
        </w:rPr>
        <w:fldChar w:fldCharType="separate"/>
      </w:r>
      <w:r>
        <w:rPr>
          <w:rStyle w:val="16"/>
          <w:rFonts w:eastAsia="Arial,Times New Roman" w:cstheme="minorHAnsi"/>
          <w:bCs/>
        </w:rPr>
        <w:t>grant terms and conditions.</w:t>
      </w:r>
      <w:r>
        <w:rPr>
          <w:rFonts w:eastAsia="Arial,Times New Roman" w:cstheme="minorHAnsi"/>
          <w:bCs/>
          <w:color w:val="4472C4" w:themeColor="accent1"/>
          <w:u w:val="single"/>
          <w14:textFill>
            <w14:solidFill>
              <w14:schemeClr w14:val="accent1"/>
            </w14:solidFill>
          </w14:textFill>
        </w:rPr>
        <w:fldChar w:fldCharType="end"/>
      </w:r>
    </w:p>
    <w:bookmarkEnd w:id="3"/>
    <w:p w14:paraId="7C6523F8">
      <w:pPr>
        <w:pStyle w:val="19"/>
        <w:spacing w:after="0" w:line="240" w:lineRule="auto"/>
        <w:ind w:left="446" w:right="144"/>
        <w:contextualSpacing w:val="0"/>
        <w:rPr>
          <w:rFonts w:cstheme="minorHAnsi"/>
        </w:rPr>
      </w:pPr>
      <w:r>
        <w:rPr>
          <w:rFonts w:cstheme="minorHAnsi"/>
          <w:b/>
          <w:bCs/>
        </w:rPr>
        <w:t xml:space="preserve">Confirmed </w:t>
      </w:r>
      <w:r>
        <w:rPr>
          <w:rFonts w:cstheme="minorHAnsi"/>
          <w:b/>
          <w:bCs/>
          <w:u w:val="single"/>
        </w:rPr>
        <w:t>__</w:t>
      </w:r>
    </w:p>
    <w:p w14:paraId="7C6523F9">
      <w:pPr>
        <w:pStyle w:val="19"/>
        <w:spacing w:after="0" w:line="240" w:lineRule="auto"/>
        <w:ind w:left="446" w:right="144"/>
        <w:rPr>
          <w:rFonts w:cstheme="minorHAnsi"/>
          <w:b/>
          <w:bCs/>
        </w:rPr>
      </w:pPr>
      <w:r>
        <w:rPr>
          <w:rFonts w:cstheme="minorHAnsi"/>
          <w:b/>
          <w:bCs/>
        </w:rPr>
        <w:t xml:space="preserve">Not confirmed </w:t>
      </w:r>
      <w:r>
        <w:rPr>
          <w:rFonts w:cstheme="minorHAnsi"/>
          <w:b/>
          <w:bCs/>
          <w:u w:val="single"/>
        </w:rPr>
        <w:t>____</w:t>
      </w:r>
      <w:r>
        <w:rPr>
          <w:rFonts w:cstheme="minorHAnsi"/>
          <w:b/>
          <w:bCs/>
        </w:rPr>
        <w:t xml:space="preserve"> (please explain)</w:t>
      </w:r>
    </w:p>
    <w:tbl>
      <w:tblPr>
        <w:tblStyle w:val="12"/>
        <w:tblW w:w="0" w:type="auto"/>
        <w:tblInd w:w="435" w:type="dxa"/>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Layout w:type="autofit"/>
        <w:tblCellMar>
          <w:top w:w="0" w:type="dxa"/>
          <w:left w:w="108" w:type="dxa"/>
          <w:bottom w:w="0" w:type="dxa"/>
          <w:right w:w="108" w:type="dxa"/>
        </w:tblCellMar>
      </w:tblPr>
      <w:tblGrid>
        <w:gridCol w:w="10335"/>
      </w:tblGrid>
      <w:tr w14:paraId="7C6523FB">
        <w:tblPrEx>
          <w:tblBorders>
            <w:top w:val="single" w:color="D8D8D8" w:themeColor="background1" w:themeShade="D9" w:sz="12" w:space="0"/>
            <w:left w:val="single" w:color="D8D8D8" w:themeColor="background1" w:themeShade="D9" w:sz="12" w:space="0"/>
            <w:bottom w:val="single" w:color="D8D8D8" w:themeColor="background1" w:themeShade="D9" w:sz="12" w:space="0"/>
            <w:right w:val="single" w:color="D8D8D8" w:themeColor="background1" w:themeShade="D9" w:sz="12" w:space="0"/>
            <w:insideH w:val="single" w:color="D8D8D8" w:themeColor="background1" w:themeShade="D9" w:sz="12" w:space="0"/>
            <w:insideV w:val="single" w:color="D8D8D8" w:themeColor="background1" w:themeShade="D9" w:sz="12" w:space="0"/>
          </w:tblBorders>
          <w:tblCellMar>
            <w:top w:w="0" w:type="dxa"/>
            <w:left w:w="108" w:type="dxa"/>
            <w:bottom w:w="0" w:type="dxa"/>
            <w:right w:w="108" w:type="dxa"/>
          </w:tblCellMar>
        </w:tblPrEx>
        <w:trPr>
          <w:trHeight w:val="432" w:hRule="atLeast"/>
        </w:trPr>
        <w:tc>
          <w:tcPr>
            <w:tcW w:w="10335" w:type="dxa"/>
          </w:tcPr>
          <w:p w14:paraId="7C6523FA">
            <w:pPr>
              <w:spacing w:after="0" w:line="240" w:lineRule="auto"/>
              <w:ind w:right="144"/>
              <w:rPr>
                <w:rFonts w:cstheme="minorHAnsi"/>
                <w:color w:val="404040" w:themeColor="text1" w:themeTint="BF"/>
                <w14:textFill>
                  <w14:solidFill>
                    <w14:schemeClr w14:val="tx1">
                      <w14:lumMod w14:val="75000"/>
                      <w14:lumOff w14:val="25000"/>
                    </w14:schemeClr>
                  </w14:solidFill>
                </w14:textFill>
              </w:rPr>
            </w:pPr>
          </w:p>
        </w:tc>
      </w:tr>
    </w:tbl>
    <w:p w14:paraId="2EB29A97">
      <w:pPr>
        <w:spacing w:before="120"/>
        <w:rPr>
          <w:rFonts w:cstheme="minorHAnsi"/>
          <w:lang w:eastAsia="zh-CN"/>
        </w:rPr>
      </w:pPr>
      <w:bookmarkStart w:id="4" w:name="BackgroundTechnology"/>
      <w:r>
        <w:rPr>
          <w:rFonts w:cstheme="minorHAnsi"/>
          <w:b/>
        </w:rPr>
        <w:t>“Background Technology”</w:t>
      </w:r>
      <w:r>
        <w:rPr>
          <w:rFonts w:cstheme="minorHAnsi"/>
        </w:rPr>
        <w:t xml:space="preserve"> </w:t>
      </w:r>
      <w:bookmarkEnd w:id="4"/>
      <w:r>
        <w:rPr>
          <w:rFonts w:cstheme="minorHAnsi"/>
        </w:rPr>
        <w:t>means all products, services, processes, technologies, materials, software, data, or other innovations, and intellectual property created by you or a third party prior to or outside of the project and used as part of the project.</w:t>
      </w:r>
      <w:r>
        <w:rPr>
          <w:rFonts w:hint="eastAsia" w:cstheme="minorHAnsi"/>
          <w:lang w:eastAsia="zh-CN"/>
        </w:rPr>
        <w:t xml:space="preserve"> </w:t>
      </w:r>
    </w:p>
    <w:p w14:paraId="14E15C23">
      <w:pPr>
        <w:rPr>
          <w:rFonts w:cstheme="minorHAnsi"/>
        </w:rPr>
      </w:pPr>
      <w:r>
        <w:rPr>
          <w:rFonts w:cstheme="minorHAnsi"/>
          <w:b/>
        </w:rPr>
        <w:t xml:space="preserve">Please list any </w:t>
      </w:r>
      <w:r>
        <w:fldChar w:fldCharType="begin"/>
      </w:r>
      <w:r>
        <w:instrText xml:space="preserve"> HYPERLINK \l "BackgroundTechnology" </w:instrText>
      </w:r>
      <w:r>
        <w:fldChar w:fldCharType="separate"/>
      </w:r>
      <w:r>
        <w:rPr>
          <w:rStyle w:val="16"/>
          <w:rFonts w:cstheme="minorHAnsi"/>
          <w:b/>
        </w:rPr>
        <w:t>Background Technology</w:t>
      </w:r>
      <w:r>
        <w:rPr>
          <w:rStyle w:val="16"/>
          <w:rFonts w:cstheme="minorHAnsi"/>
          <w:b/>
        </w:rPr>
        <w:fldChar w:fldCharType="end"/>
      </w:r>
      <w:r>
        <w:rPr>
          <w:rFonts w:cstheme="minorHAnsi"/>
        </w:rPr>
        <w:t xml:space="preserve"> </w:t>
      </w:r>
      <w:r>
        <w:rPr>
          <w:rFonts w:cstheme="minorHAnsi"/>
          <w:b/>
        </w:rPr>
        <w:t>that will be used in the project. </w:t>
      </w:r>
      <w:r>
        <w:rPr>
          <w:rFonts w:cstheme="minorHAnsi"/>
        </w:rPr>
        <w:t>Commonly available, off-the-shelf products (such as Microsoft Excel, Adobe, etc.) do not need to be disclosed.  </w:t>
      </w:r>
      <w:r>
        <w:rPr>
          <w:rFonts w:cstheme="minorHAnsi"/>
          <w:u w:val="single"/>
        </w:rPr>
        <w:t>Add more rows as needed.</w:t>
      </w:r>
      <w:r>
        <w:rPr>
          <w:rFonts w:cstheme="minorHAnsi"/>
        </w:rPr>
        <w:t> </w:t>
      </w:r>
    </w:p>
    <w:p w14:paraId="249876EB">
      <w:pPr>
        <w:rPr>
          <w:rFonts w:cstheme="minorHAnsi"/>
          <w:i/>
        </w:rPr>
      </w:pPr>
      <w:r>
        <w:rPr>
          <w:rFonts w:cstheme="minorHAnsi"/>
          <w:i/>
        </w:rPr>
        <w:t xml:space="preserve">Note: </w:t>
      </w:r>
      <w:r>
        <w:fldChar w:fldCharType="begin"/>
      </w:r>
      <w:r>
        <w:instrText xml:space="preserve"> HYPERLINK \l "BackgroundTechnology" </w:instrText>
      </w:r>
      <w:r>
        <w:fldChar w:fldCharType="separate"/>
      </w:r>
      <w:r>
        <w:rPr>
          <w:rStyle w:val="16"/>
          <w:rFonts w:cstheme="minorHAnsi"/>
          <w:i/>
          <w:iCs/>
        </w:rPr>
        <w:t>Background Technology</w:t>
      </w:r>
      <w:r>
        <w:rPr>
          <w:rStyle w:val="16"/>
          <w:rFonts w:cstheme="minorHAnsi"/>
          <w:i/>
          <w:iCs/>
        </w:rPr>
        <w:fldChar w:fldCharType="end"/>
      </w:r>
      <w:r>
        <w:rPr>
          <w:rFonts w:cstheme="minorHAnsi"/>
          <w:i/>
        </w:rPr>
        <w:t xml:space="preserve"> previously funded by the foundation will be considered a </w:t>
      </w:r>
      <w:r>
        <w:fldChar w:fldCharType="begin"/>
      </w:r>
      <w:r>
        <w:instrText xml:space="preserve"> HYPERLINK \l "FundedDevelopment" </w:instrText>
      </w:r>
      <w:r>
        <w:fldChar w:fldCharType="separate"/>
      </w:r>
      <w:r>
        <w:rPr>
          <w:rStyle w:val="16"/>
          <w:rFonts w:cstheme="minorHAnsi"/>
          <w:i/>
        </w:rPr>
        <w:t>Funded Development</w:t>
      </w:r>
      <w:r>
        <w:rPr>
          <w:rStyle w:val="16"/>
          <w:rFonts w:cstheme="minorHAnsi"/>
          <w:i/>
        </w:rPr>
        <w:fldChar w:fldCharType="end"/>
      </w:r>
      <w:r>
        <w:rPr>
          <w:rFonts w:cstheme="minorHAnsi"/>
          <w:i/>
        </w:rPr>
        <w:t xml:space="preserve"> for purposes of </w:t>
      </w:r>
      <w:r>
        <w:fldChar w:fldCharType="begin"/>
      </w:r>
      <w:r>
        <w:instrText xml:space="preserve"> HYPERLINK \l "GlobalAccess" </w:instrText>
      </w:r>
      <w:r>
        <w:fldChar w:fldCharType="separate"/>
      </w:r>
      <w:r>
        <w:rPr>
          <w:rStyle w:val="16"/>
          <w:rFonts w:cstheme="minorHAnsi"/>
          <w:i/>
          <w:iCs/>
        </w:rPr>
        <w:t>Global Access</w:t>
      </w:r>
      <w:r>
        <w:rPr>
          <w:rStyle w:val="16"/>
          <w:rFonts w:cstheme="minorHAnsi"/>
          <w:i/>
          <w:iCs/>
        </w:rPr>
        <w:fldChar w:fldCharType="end"/>
      </w:r>
      <w:r>
        <w:rPr>
          <w:rFonts w:cstheme="minorHAnsi"/>
          <w:i/>
        </w:rPr>
        <w:t> and any </w:t>
      </w:r>
      <w:r>
        <w:fldChar w:fldCharType="begin"/>
      </w:r>
      <w:r>
        <w:instrText xml:space="preserve"> HYPERLINK "https://docs.gatesfoundation.org/Documents/Humanitarian-License-Nonbinding-FAQ.pdf" \t "_blank" </w:instrText>
      </w:r>
      <w:r>
        <w:fldChar w:fldCharType="separate"/>
      </w:r>
      <w:r>
        <w:rPr>
          <w:rFonts w:cstheme="minorHAnsi"/>
          <w:i/>
          <w:color w:val="5291A8"/>
          <w:u w:val="single"/>
        </w:rPr>
        <w:t>license to the foundation</w:t>
      </w:r>
      <w:r>
        <w:rPr>
          <w:rFonts w:cstheme="minorHAnsi"/>
          <w:i/>
          <w:color w:val="5291A8"/>
          <w:u w:val="single"/>
        </w:rPr>
        <w:fldChar w:fldCharType="end"/>
      </w:r>
      <w:r>
        <w:rPr>
          <w:rFonts w:cstheme="minorHAnsi"/>
          <w:i/>
        </w:rPr>
        <w:t>. </w:t>
      </w:r>
    </w:p>
    <w:tbl>
      <w:tblPr>
        <w:tblStyle w:val="41"/>
        <w:tblW w:w="5000" w:type="pct"/>
        <w:tblInd w:w="0" w:type="dxa"/>
        <w:tblBorders>
          <w:top w:val="single" w:color="D6DCE4" w:themeColor="text2" w:themeTint="33" w:sz="8" w:space="0"/>
          <w:left w:val="single" w:color="D6DCE4" w:themeColor="text2" w:themeTint="33" w:sz="8" w:space="0"/>
          <w:bottom w:val="single" w:color="D6DCE4" w:themeColor="text2" w:themeTint="33" w:sz="8" w:space="0"/>
          <w:right w:val="single" w:color="D6DCE4" w:themeColor="text2" w:themeTint="33" w:sz="8" w:space="0"/>
          <w:insideH w:val="single" w:color="D6DCE4" w:themeColor="text2" w:themeTint="33" w:sz="8" w:space="0"/>
          <w:insideV w:val="single" w:color="D6DCE4" w:themeColor="text2" w:themeTint="33" w:sz="8" w:space="0"/>
        </w:tblBorders>
        <w:tblLayout w:type="fixed"/>
        <w:tblCellMar>
          <w:top w:w="58" w:type="dxa"/>
          <w:left w:w="108" w:type="dxa"/>
          <w:bottom w:w="58" w:type="dxa"/>
          <w:right w:w="108" w:type="dxa"/>
        </w:tblCellMar>
      </w:tblPr>
      <w:tblGrid>
        <w:gridCol w:w="2840"/>
        <w:gridCol w:w="1483"/>
        <w:gridCol w:w="1460"/>
        <w:gridCol w:w="2668"/>
        <w:gridCol w:w="2565"/>
      </w:tblGrid>
      <w:tr w14:paraId="0BFD91C9">
        <w:tblPrEx>
          <w:tblBorders>
            <w:top w:val="single" w:color="D6DCE4" w:themeColor="text2" w:themeTint="33" w:sz="8" w:space="0"/>
            <w:left w:val="single" w:color="D6DCE4" w:themeColor="text2" w:themeTint="33" w:sz="8" w:space="0"/>
            <w:bottom w:val="single" w:color="D6DCE4" w:themeColor="text2" w:themeTint="33" w:sz="8" w:space="0"/>
            <w:right w:val="single" w:color="D6DCE4" w:themeColor="text2" w:themeTint="33" w:sz="8" w:space="0"/>
            <w:insideH w:val="single" w:color="D6DCE4" w:themeColor="text2" w:themeTint="33" w:sz="8" w:space="0"/>
            <w:insideV w:val="single" w:color="D6DCE4" w:themeColor="text2" w:themeTint="33" w:sz="8" w:space="0"/>
          </w:tblBorders>
          <w:tblCellMar>
            <w:top w:w="58" w:type="dxa"/>
            <w:left w:w="108" w:type="dxa"/>
            <w:bottom w:w="58" w:type="dxa"/>
            <w:right w:w="108" w:type="dxa"/>
          </w:tblCellMar>
        </w:tblPrEx>
        <w:tc>
          <w:tcPr>
            <w:tcW w:w="1289" w:type="pct"/>
            <w:shd w:val="clear" w:color="auto" w:fill="F1F1F1" w:themeFill="background1" w:themeFillShade="F2"/>
            <w:vAlign w:val="center"/>
          </w:tcPr>
          <w:p w14:paraId="0816E4CC">
            <w:pPr>
              <w:pStyle w:val="37"/>
              <w:rPr>
                <w:rFonts w:asciiTheme="minorHAnsi" w:hAnsiTheme="minorHAnsi" w:cstheme="minorHAnsi"/>
                <w:b/>
                <w:i w:val="0"/>
                <w:color w:val="181717" w:themeColor="background2" w:themeShade="1A"/>
                <w:sz w:val="22"/>
                <w:szCs w:val="22"/>
              </w:rPr>
            </w:pPr>
            <w:r>
              <w:rPr>
                <w:rFonts w:asciiTheme="minorHAnsi" w:hAnsiTheme="minorHAnsi" w:cstheme="minorHAnsi"/>
                <w:b/>
                <w:i w:val="0"/>
                <w:color w:val="181717" w:themeColor="background2" w:themeShade="1A"/>
                <w:sz w:val="22"/>
                <w:szCs w:val="22"/>
              </w:rPr>
              <w:t>List each Background Technology to be used in the project  </w:t>
            </w:r>
          </w:p>
        </w:tc>
        <w:tc>
          <w:tcPr>
            <w:tcW w:w="673" w:type="pct"/>
            <w:shd w:val="clear" w:color="auto" w:fill="F1F1F1" w:themeFill="background1" w:themeFillShade="F2"/>
            <w:vAlign w:val="center"/>
          </w:tcPr>
          <w:p w14:paraId="71542E43">
            <w:pPr>
              <w:pStyle w:val="37"/>
              <w:rPr>
                <w:rFonts w:asciiTheme="minorHAnsi" w:hAnsiTheme="minorHAnsi" w:cstheme="minorHAnsi"/>
                <w:b/>
                <w:i w:val="0"/>
                <w:color w:val="181717" w:themeColor="background2" w:themeShade="1A"/>
                <w:sz w:val="22"/>
                <w:szCs w:val="22"/>
              </w:rPr>
            </w:pPr>
            <w:r>
              <w:rPr>
                <w:rFonts w:asciiTheme="minorHAnsi" w:hAnsiTheme="minorHAnsi" w:cstheme="minorHAnsi"/>
                <w:b/>
                <w:i w:val="0"/>
                <w:color w:val="181717" w:themeColor="background2" w:themeShade="1A"/>
                <w:sz w:val="22"/>
                <w:szCs w:val="22"/>
              </w:rPr>
              <w:t xml:space="preserve">Is this Background Technology owned, controlled, or developed by you or sublicensable by you?  </w:t>
            </w:r>
          </w:p>
        </w:tc>
        <w:tc>
          <w:tcPr>
            <w:tcW w:w="663" w:type="pct"/>
            <w:shd w:val="clear" w:color="auto" w:fill="F1F1F1" w:themeFill="background1" w:themeFillShade="F2"/>
            <w:vAlign w:val="center"/>
          </w:tcPr>
          <w:p w14:paraId="457FBD78">
            <w:pPr>
              <w:pStyle w:val="37"/>
              <w:rPr>
                <w:rFonts w:asciiTheme="minorHAnsi" w:hAnsiTheme="minorHAnsi" w:cstheme="minorHAnsi"/>
                <w:b/>
                <w:i w:val="0"/>
                <w:color w:val="181717" w:themeColor="background2" w:themeShade="1A"/>
                <w:sz w:val="22"/>
                <w:szCs w:val="22"/>
              </w:rPr>
            </w:pPr>
            <w:r>
              <w:rPr>
                <w:rFonts w:asciiTheme="minorHAnsi" w:hAnsiTheme="minorHAnsi" w:cstheme="minorHAnsi"/>
                <w:b/>
                <w:i w:val="0"/>
                <w:color w:val="181717" w:themeColor="background2" w:themeShade="1A"/>
                <w:sz w:val="22"/>
                <w:szCs w:val="22"/>
              </w:rPr>
              <w:t>Do you need permission or a license from any third party to use this Background Technology to achieve Global Access?</w:t>
            </w:r>
          </w:p>
        </w:tc>
        <w:tc>
          <w:tcPr>
            <w:tcW w:w="1211" w:type="pct"/>
            <w:shd w:val="clear" w:color="auto" w:fill="F1F1F1" w:themeFill="background1" w:themeFillShade="F2"/>
            <w:vAlign w:val="center"/>
          </w:tcPr>
          <w:p w14:paraId="50948B9F">
            <w:pPr>
              <w:pStyle w:val="37"/>
              <w:rPr>
                <w:rFonts w:asciiTheme="minorHAnsi" w:hAnsiTheme="minorHAnsi" w:cstheme="minorHAnsi"/>
                <w:b/>
                <w:i w:val="0"/>
                <w:color w:val="181717" w:themeColor="background2" w:themeShade="1A"/>
                <w:sz w:val="22"/>
                <w:szCs w:val="22"/>
              </w:rPr>
            </w:pPr>
            <w:r>
              <w:rPr>
                <w:rFonts w:asciiTheme="minorHAnsi" w:hAnsiTheme="minorHAnsi" w:cstheme="minorHAnsi"/>
                <w:b/>
                <w:i w:val="0"/>
                <w:color w:val="181717" w:themeColor="background2" w:themeShade="1A"/>
                <w:sz w:val="22"/>
                <w:szCs w:val="22"/>
              </w:rPr>
              <w:t>If any permission/license is needed, please detail below, and describe your plan and timeline to obtain such permission/license or submit a copy of the agreement. </w:t>
            </w:r>
          </w:p>
        </w:tc>
        <w:tc>
          <w:tcPr>
            <w:tcW w:w="1164" w:type="pct"/>
            <w:shd w:val="clear" w:color="auto" w:fill="F1F1F1" w:themeFill="background1" w:themeFillShade="F2"/>
            <w:vAlign w:val="center"/>
          </w:tcPr>
          <w:p w14:paraId="6DBD233B">
            <w:pPr>
              <w:pStyle w:val="37"/>
              <w:rPr>
                <w:rFonts w:asciiTheme="minorHAnsi" w:hAnsiTheme="minorHAnsi" w:cstheme="minorHAnsi"/>
                <w:b/>
                <w:i w:val="0"/>
                <w:color w:val="181717" w:themeColor="background2" w:themeShade="1A"/>
                <w:sz w:val="22"/>
                <w:szCs w:val="22"/>
              </w:rPr>
            </w:pPr>
            <w:r>
              <w:rPr>
                <w:rFonts w:asciiTheme="minorHAnsi" w:hAnsiTheme="minorHAnsi" w:cstheme="minorHAnsi"/>
                <w:b/>
                <w:i w:val="0"/>
                <w:color w:val="181717" w:themeColor="background2" w:themeShade="1A"/>
                <w:sz w:val="22"/>
                <w:szCs w:val="22"/>
              </w:rPr>
              <w:t>If this Background Technology is subject to Intellectual Property rights, please identify and include any links to applications, filings, or registrations, as applicable. </w:t>
            </w:r>
          </w:p>
        </w:tc>
      </w:tr>
      <w:tr w14:paraId="53F72FA2">
        <w:tblPrEx>
          <w:tblBorders>
            <w:top w:val="single" w:color="D6DCE4" w:themeColor="text2" w:themeTint="33" w:sz="8" w:space="0"/>
            <w:left w:val="single" w:color="D6DCE4" w:themeColor="text2" w:themeTint="33" w:sz="8" w:space="0"/>
            <w:bottom w:val="single" w:color="D6DCE4" w:themeColor="text2" w:themeTint="33" w:sz="8" w:space="0"/>
            <w:right w:val="single" w:color="D6DCE4" w:themeColor="text2" w:themeTint="33" w:sz="8" w:space="0"/>
            <w:insideH w:val="single" w:color="D6DCE4" w:themeColor="text2" w:themeTint="33" w:sz="8" w:space="0"/>
            <w:insideV w:val="single" w:color="D6DCE4" w:themeColor="text2" w:themeTint="33" w:sz="8" w:space="0"/>
          </w:tblBorders>
          <w:tblCellMar>
            <w:top w:w="58" w:type="dxa"/>
            <w:left w:w="108" w:type="dxa"/>
            <w:bottom w:w="58" w:type="dxa"/>
            <w:right w:w="108" w:type="dxa"/>
          </w:tblCellMar>
        </w:tblPrEx>
        <w:tc>
          <w:tcPr>
            <w:tcW w:w="1289" w:type="pct"/>
            <w:shd w:val="clear" w:color="auto" w:fill="auto"/>
            <w:vAlign w:val="center"/>
          </w:tcPr>
          <w:p w14:paraId="19CE8F88">
            <w:pPr>
              <w:pStyle w:val="38"/>
              <w:rPr>
                <w:rFonts w:asciiTheme="minorHAnsi" w:hAnsiTheme="minorHAnsi" w:cstheme="minorHAnsi"/>
                <w:sz w:val="22"/>
                <w:szCs w:val="22"/>
              </w:rPr>
            </w:pPr>
          </w:p>
        </w:tc>
        <w:tc>
          <w:tcPr>
            <w:tcW w:w="673" w:type="pct"/>
            <w:shd w:val="clear" w:color="auto" w:fill="auto"/>
            <w:vAlign w:val="center"/>
          </w:tcPr>
          <w:p w14:paraId="24652123">
            <w:pPr>
              <w:pStyle w:val="38"/>
              <w:jc w:val="center"/>
              <w:rPr>
                <w:rFonts w:asciiTheme="minorHAnsi" w:hAnsiTheme="minorHAnsi" w:cstheme="minorHAnsi"/>
                <w:sz w:val="22"/>
                <w:szCs w:val="22"/>
              </w:rPr>
            </w:pPr>
          </w:p>
        </w:tc>
        <w:tc>
          <w:tcPr>
            <w:tcW w:w="663" w:type="pct"/>
            <w:shd w:val="clear" w:color="auto" w:fill="auto"/>
            <w:vAlign w:val="center"/>
          </w:tcPr>
          <w:p w14:paraId="56B4EF31">
            <w:pPr>
              <w:pStyle w:val="38"/>
              <w:jc w:val="center"/>
              <w:rPr>
                <w:rFonts w:asciiTheme="minorHAnsi" w:hAnsiTheme="minorHAnsi" w:cstheme="minorHAnsi"/>
                <w:sz w:val="22"/>
                <w:szCs w:val="22"/>
              </w:rPr>
            </w:pPr>
          </w:p>
        </w:tc>
        <w:tc>
          <w:tcPr>
            <w:tcW w:w="1211" w:type="pct"/>
            <w:shd w:val="clear" w:color="auto" w:fill="auto"/>
            <w:vAlign w:val="center"/>
          </w:tcPr>
          <w:p w14:paraId="7648FC78">
            <w:pPr>
              <w:pStyle w:val="38"/>
              <w:rPr>
                <w:rFonts w:asciiTheme="minorHAnsi" w:hAnsiTheme="minorHAnsi" w:cstheme="minorHAnsi"/>
                <w:sz w:val="22"/>
                <w:szCs w:val="22"/>
              </w:rPr>
            </w:pPr>
          </w:p>
        </w:tc>
        <w:tc>
          <w:tcPr>
            <w:tcW w:w="1164" w:type="pct"/>
            <w:shd w:val="clear" w:color="auto" w:fill="auto"/>
            <w:vAlign w:val="center"/>
          </w:tcPr>
          <w:p w14:paraId="690A8758">
            <w:pPr>
              <w:pStyle w:val="38"/>
              <w:rPr>
                <w:rFonts w:asciiTheme="minorHAnsi" w:hAnsiTheme="minorHAnsi" w:cstheme="minorHAnsi"/>
                <w:sz w:val="22"/>
                <w:szCs w:val="22"/>
              </w:rPr>
            </w:pPr>
            <w:r>
              <w:rPr>
                <w:rFonts w:asciiTheme="minorHAnsi" w:hAnsiTheme="minorHAnsi" w:cstheme="minorHAnsi"/>
                <w:sz w:val="22"/>
                <w:szCs w:val="22"/>
              </w:rPr>
              <w:t> </w:t>
            </w:r>
          </w:p>
        </w:tc>
      </w:tr>
      <w:tr w14:paraId="5EFBAB68">
        <w:tblPrEx>
          <w:tblBorders>
            <w:top w:val="single" w:color="D6DCE4" w:themeColor="text2" w:themeTint="33" w:sz="8" w:space="0"/>
            <w:left w:val="single" w:color="D6DCE4" w:themeColor="text2" w:themeTint="33" w:sz="8" w:space="0"/>
            <w:bottom w:val="single" w:color="D6DCE4" w:themeColor="text2" w:themeTint="33" w:sz="8" w:space="0"/>
            <w:right w:val="single" w:color="D6DCE4" w:themeColor="text2" w:themeTint="33" w:sz="8" w:space="0"/>
            <w:insideH w:val="single" w:color="D6DCE4" w:themeColor="text2" w:themeTint="33" w:sz="8" w:space="0"/>
            <w:insideV w:val="single" w:color="D6DCE4" w:themeColor="text2" w:themeTint="33" w:sz="8" w:space="0"/>
          </w:tblBorders>
          <w:tblCellMar>
            <w:top w:w="58" w:type="dxa"/>
            <w:left w:w="108" w:type="dxa"/>
            <w:bottom w:w="58" w:type="dxa"/>
            <w:right w:w="108" w:type="dxa"/>
          </w:tblCellMar>
        </w:tblPrEx>
        <w:tc>
          <w:tcPr>
            <w:tcW w:w="1289" w:type="pct"/>
            <w:shd w:val="clear" w:color="auto" w:fill="auto"/>
            <w:vAlign w:val="center"/>
          </w:tcPr>
          <w:p w14:paraId="4CEB2C92">
            <w:pPr>
              <w:rPr>
                <w:rFonts w:cstheme="minorHAnsi"/>
                <w:color w:val="181717" w:themeColor="background2" w:themeShade="1A"/>
              </w:rPr>
            </w:pPr>
          </w:p>
        </w:tc>
        <w:tc>
          <w:tcPr>
            <w:tcW w:w="673" w:type="pct"/>
            <w:shd w:val="clear" w:color="auto" w:fill="auto"/>
            <w:vAlign w:val="center"/>
          </w:tcPr>
          <w:p w14:paraId="7519CB41">
            <w:pPr>
              <w:pStyle w:val="38"/>
              <w:jc w:val="center"/>
              <w:rPr>
                <w:rFonts w:asciiTheme="minorHAnsi" w:hAnsiTheme="minorHAnsi" w:cstheme="minorHAnsi"/>
                <w:sz w:val="22"/>
                <w:szCs w:val="22"/>
              </w:rPr>
            </w:pPr>
          </w:p>
        </w:tc>
        <w:tc>
          <w:tcPr>
            <w:tcW w:w="663" w:type="pct"/>
            <w:shd w:val="clear" w:color="auto" w:fill="auto"/>
            <w:vAlign w:val="center"/>
          </w:tcPr>
          <w:p w14:paraId="7997843B">
            <w:pPr>
              <w:pStyle w:val="38"/>
              <w:jc w:val="center"/>
              <w:rPr>
                <w:rFonts w:asciiTheme="minorHAnsi" w:hAnsiTheme="minorHAnsi" w:cstheme="minorHAnsi"/>
                <w:sz w:val="22"/>
                <w:szCs w:val="22"/>
              </w:rPr>
            </w:pPr>
          </w:p>
        </w:tc>
        <w:tc>
          <w:tcPr>
            <w:tcW w:w="1211" w:type="pct"/>
            <w:shd w:val="clear" w:color="auto" w:fill="auto"/>
            <w:vAlign w:val="center"/>
          </w:tcPr>
          <w:p w14:paraId="44B8C2F2">
            <w:pPr>
              <w:pStyle w:val="38"/>
              <w:rPr>
                <w:rFonts w:asciiTheme="minorHAnsi" w:hAnsiTheme="minorHAnsi" w:cstheme="minorHAnsi"/>
                <w:sz w:val="22"/>
                <w:szCs w:val="22"/>
              </w:rPr>
            </w:pPr>
          </w:p>
        </w:tc>
        <w:tc>
          <w:tcPr>
            <w:tcW w:w="1164" w:type="pct"/>
            <w:shd w:val="clear" w:color="auto" w:fill="auto"/>
            <w:vAlign w:val="center"/>
          </w:tcPr>
          <w:p w14:paraId="7F1B8CF6">
            <w:pPr>
              <w:pStyle w:val="38"/>
              <w:rPr>
                <w:rFonts w:asciiTheme="minorHAnsi" w:hAnsiTheme="minorHAnsi" w:cstheme="minorHAnsi"/>
                <w:sz w:val="22"/>
                <w:szCs w:val="22"/>
              </w:rPr>
            </w:pPr>
          </w:p>
        </w:tc>
      </w:tr>
    </w:tbl>
    <w:p w14:paraId="2747257C">
      <w:pPr>
        <w:pStyle w:val="39"/>
        <w:numPr>
          <w:ilvl w:val="0"/>
          <w:numId w:val="0"/>
        </w:numPr>
        <w:rPr>
          <w:rFonts w:cstheme="minorHAnsi"/>
        </w:rPr>
      </w:pPr>
    </w:p>
    <w:p w14:paraId="6F75C9DB">
      <w:pPr>
        <w:pStyle w:val="39"/>
        <w:numPr>
          <w:ilvl w:val="0"/>
          <w:numId w:val="5"/>
        </w:numPr>
        <w:ind w:left="360"/>
        <w:rPr>
          <w:rFonts w:cstheme="minorHAnsi"/>
          <w:sz w:val="22"/>
          <w:szCs w:val="22"/>
        </w:rPr>
      </w:pPr>
      <w:r>
        <w:rPr>
          <w:rFonts w:cstheme="minorHAnsi"/>
          <w:sz w:val="22"/>
          <w:szCs w:val="22"/>
        </w:rPr>
        <w:t xml:space="preserve">How will you ensure affordable and meaningful access to the </w:t>
      </w:r>
      <w:r>
        <w:fldChar w:fldCharType="begin"/>
      </w:r>
      <w:r>
        <w:instrText xml:space="preserve"> HYPERLINK \l "FundedDevelopment" </w:instrText>
      </w:r>
      <w:r>
        <w:fldChar w:fldCharType="separate"/>
      </w:r>
      <w:r>
        <w:rPr>
          <w:rStyle w:val="16"/>
          <w:rFonts w:cstheme="minorHAnsi"/>
          <w:sz w:val="22"/>
          <w:szCs w:val="22"/>
        </w:rPr>
        <w:t>Funded Developments</w:t>
      </w:r>
      <w:r>
        <w:rPr>
          <w:rStyle w:val="16"/>
          <w:rFonts w:cstheme="minorHAnsi"/>
          <w:sz w:val="22"/>
          <w:szCs w:val="22"/>
        </w:rPr>
        <w:fldChar w:fldCharType="end"/>
      </w:r>
      <w:r>
        <w:rPr>
          <w:rFonts w:cstheme="minorHAnsi"/>
          <w:sz w:val="22"/>
          <w:szCs w:val="22"/>
        </w:rPr>
        <w:t xml:space="preserve"> and </w:t>
      </w:r>
      <w:r>
        <w:fldChar w:fldCharType="begin"/>
      </w:r>
      <w:r>
        <w:instrText xml:space="preserve"> HYPERLINK \l "BackgroundTechnology" </w:instrText>
      </w:r>
      <w:r>
        <w:fldChar w:fldCharType="separate"/>
      </w:r>
      <w:r>
        <w:rPr>
          <w:rStyle w:val="16"/>
          <w:rFonts w:cstheme="minorHAnsi"/>
          <w:sz w:val="22"/>
          <w:szCs w:val="22"/>
        </w:rPr>
        <w:t>Background Technology</w:t>
      </w:r>
      <w:r>
        <w:rPr>
          <w:rStyle w:val="16"/>
          <w:rFonts w:cstheme="minorHAnsi"/>
          <w:sz w:val="22"/>
          <w:szCs w:val="22"/>
        </w:rPr>
        <w:fldChar w:fldCharType="end"/>
      </w:r>
      <w:r>
        <w:rPr>
          <w:rFonts w:cstheme="minorHAnsi"/>
          <w:sz w:val="22"/>
          <w:szCs w:val="22"/>
        </w:rPr>
        <w:t>, if any?</w:t>
      </w:r>
    </w:p>
    <w:tbl>
      <w:tblPr>
        <w:tblStyle w:val="41"/>
        <w:tblW w:w="0" w:type="auto"/>
        <w:tblInd w:w="360" w:type="dxa"/>
        <w:tblBorders>
          <w:top w:val="single" w:color="D8D8D8" w:themeColor="background1" w:themeShade="D9" w:sz="8" w:space="0"/>
          <w:left w:val="single" w:color="D8D8D8" w:themeColor="background1" w:themeShade="D9" w:sz="8" w:space="0"/>
          <w:bottom w:val="single" w:color="D8D8D8" w:themeColor="background1" w:themeShade="D9" w:sz="8" w:space="0"/>
          <w:right w:val="single" w:color="D8D8D8" w:themeColor="background1" w:themeShade="D9" w:sz="8" w:space="0"/>
          <w:insideH w:val="none" w:color="auto" w:sz="0" w:space="0"/>
          <w:insideV w:val="none" w:color="auto" w:sz="0" w:space="0"/>
        </w:tblBorders>
        <w:tblLayout w:type="autofit"/>
        <w:tblCellMar>
          <w:top w:w="0" w:type="dxa"/>
          <w:left w:w="108" w:type="dxa"/>
          <w:bottom w:w="0" w:type="dxa"/>
          <w:right w:w="108" w:type="dxa"/>
        </w:tblCellMar>
      </w:tblPr>
      <w:tblGrid>
        <w:gridCol w:w="10656"/>
      </w:tblGrid>
      <w:tr w14:paraId="342B5140">
        <w:tblPrEx>
          <w:tblBorders>
            <w:top w:val="single" w:color="D8D8D8" w:themeColor="background1" w:themeShade="D9" w:sz="8" w:space="0"/>
            <w:left w:val="single" w:color="D8D8D8" w:themeColor="background1" w:themeShade="D9" w:sz="8" w:space="0"/>
            <w:bottom w:val="single" w:color="D8D8D8" w:themeColor="background1" w:themeShade="D9" w:sz="8" w:space="0"/>
            <w:right w:val="single" w:color="D8D8D8" w:themeColor="background1" w:themeShade="D9" w:sz="8" w:space="0"/>
            <w:insideH w:val="none" w:color="auto" w:sz="0" w:space="0"/>
            <w:insideV w:val="none" w:color="auto" w:sz="0" w:space="0"/>
          </w:tblBorders>
          <w:tblCellMar>
            <w:top w:w="0" w:type="dxa"/>
            <w:left w:w="108" w:type="dxa"/>
            <w:bottom w:w="0" w:type="dxa"/>
            <w:right w:w="108" w:type="dxa"/>
          </w:tblCellMar>
        </w:tblPrEx>
        <w:tc>
          <w:tcPr>
            <w:tcW w:w="10780" w:type="dxa"/>
            <w:shd w:val="clear" w:color="auto" w:fill="auto"/>
            <w:vAlign w:val="center"/>
          </w:tcPr>
          <w:p w14:paraId="14CDBF29">
            <w:pPr>
              <w:rPr>
                <w:rFonts w:eastAsia="宋体" w:cstheme="minorHAnsi"/>
                <w:color w:val="181717" w:themeColor="background2" w:themeShade="1A"/>
              </w:rPr>
            </w:pPr>
          </w:p>
        </w:tc>
      </w:tr>
    </w:tbl>
    <w:p w14:paraId="7CD8D76B">
      <w:pPr>
        <w:pStyle w:val="39"/>
        <w:numPr>
          <w:ilvl w:val="0"/>
          <w:numId w:val="5"/>
        </w:numPr>
        <w:spacing w:before="120"/>
        <w:ind w:left="360"/>
        <w:rPr>
          <w:rFonts w:cstheme="minorHAnsi"/>
          <w:sz w:val="22"/>
          <w:szCs w:val="22"/>
        </w:rPr>
      </w:pPr>
      <w:r>
        <w:rPr>
          <w:rStyle w:val="14"/>
          <w:rFonts w:cstheme="minorHAnsi"/>
          <w:sz w:val="22"/>
          <w:szCs w:val="22"/>
        </w:rPr>
        <w:t xml:space="preserve">Do you foresee any obstacles to achieving </w:t>
      </w:r>
      <w:r>
        <w:fldChar w:fldCharType="begin"/>
      </w:r>
      <w:r>
        <w:instrText xml:space="preserve"> HYPERLINK \l "GlobalAccess" </w:instrText>
      </w:r>
      <w:r>
        <w:fldChar w:fldCharType="separate"/>
      </w:r>
      <w:r>
        <w:rPr>
          <w:rStyle w:val="16"/>
          <w:rFonts w:cstheme="minorHAnsi"/>
          <w:sz w:val="22"/>
          <w:szCs w:val="22"/>
        </w:rPr>
        <w:t>Global Access</w:t>
      </w:r>
      <w:r>
        <w:rPr>
          <w:rStyle w:val="16"/>
          <w:rFonts w:cstheme="minorHAnsi"/>
          <w:sz w:val="22"/>
          <w:szCs w:val="22"/>
        </w:rPr>
        <w:fldChar w:fldCharType="end"/>
      </w:r>
      <w:r>
        <w:rPr>
          <w:rFonts w:cstheme="minorHAnsi"/>
          <w:sz w:val="22"/>
          <w:szCs w:val="22"/>
        </w:rPr>
        <w:t xml:space="preserve"> (e.g., third-party rights, restrictions on </w:t>
      </w:r>
      <w:r>
        <w:fldChar w:fldCharType="begin"/>
      </w:r>
      <w:r>
        <w:instrText xml:space="preserve"> HYPERLINK \l "BackgroundTechnology" </w:instrText>
      </w:r>
      <w:r>
        <w:fldChar w:fldCharType="separate"/>
      </w:r>
      <w:r>
        <w:rPr>
          <w:rStyle w:val="16"/>
          <w:rFonts w:cstheme="minorHAnsi"/>
          <w:sz w:val="22"/>
          <w:szCs w:val="22"/>
        </w:rPr>
        <w:t>Background Technology</w:t>
      </w:r>
      <w:r>
        <w:rPr>
          <w:rStyle w:val="16"/>
          <w:rFonts w:cstheme="minorHAnsi"/>
          <w:sz w:val="22"/>
          <w:szCs w:val="22"/>
        </w:rPr>
        <w:fldChar w:fldCharType="end"/>
      </w:r>
      <w:r>
        <w:rPr>
          <w:rFonts w:cstheme="minorHAnsi"/>
          <w:sz w:val="22"/>
          <w:szCs w:val="22"/>
        </w:rPr>
        <w:t>, time frame, affordability)?</w:t>
      </w:r>
    </w:p>
    <w:p w14:paraId="25CD158A">
      <w:pPr>
        <w:pStyle w:val="40"/>
        <w:rPr>
          <w:rFonts w:cstheme="minorHAnsi"/>
          <w:sz w:val="22"/>
          <w:szCs w:val="22"/>
        </w:rPr>
      </w:pPr>
      <w:r>
        <w:rPr>
          <w:rFonts w:cstheme="minorHAnsi"/>
          <w:sz w:val="22"/>
          <w:szCs w:val="22"/>
          <w:u w:val="single"/>
        </w:rPr>
        <w:t xml:space="preserve">_ </w:t>
      </w:r>
      <w:r>
        <w:rPr>
          <w:rFonts w:cstheme="minorHAnsi"/>
          <w:sz w:val="22"/>
          <w:szCs w:val="22"/>
        </w:rPr>
        <w:t>No     ___Yes (please explain and describe the specific steps that you will take to address the obstacles)</w:t>
      </w:r>
    </w:p>
    <w:tbl>
      <w:tblPr>
        <w:tblStyle w:val="41"/>
        <w:tblW w:w="0" w:type="auto"/>
        <w:tblInd w:w="360" w:type="dxa"/>
        <w:tblBorders>
          <w:top w:val="single" w:color="D8D8D8" w:themeColor="background1" w:themeShade="D9" w:sz="8" w:space="0"/>
          <w:left w:val="single" w:color="D8D8D8" w:themeColor="background1" w:themeShade="D9" w:sz="8" w:space="0"/>
          <w:bottom w:val="single" w:color="D8D8D8" w:themeColor="background1" w:themeShade="D9" w:sz="8" w:space="0"/>
          <w:right w:val="single" w:color="D8D8D8" w:themeColor="background1" w:themeShade="D9" w:sz="8" w:space="0"/>
          <w:insideH w:val="none" w:color="auto" w:sz="0" w:space="0"/>
          <w:insideV w:val="none" w:color="auto" w:sz="0" w:space="0"/>
        </w:tblBorders>
        <w:tblLayout w:type="autofit"/>
        <w:tblCellMar>
          <w:top w:w="0" w:type="dxa"/>
          <w:left w:w="108" w:type="dxa"/>
          <w:bottom w:w="0" w:type="dxa"/>
          <w:right w:w="108" w:type="dxa"/>
        </w:tblCellMar>
      </w:tblPr>
      <w:tblGrid>
        <w:gridCol w:w="10656"/>
      </w:tblGrid>
      <w:tr w14:paraId="2F5B87E0">
        <w:tblPrEx>
          <w:tblBorders>
            <w:top w:val="single" w:color="D8D8D8" w:themeColor="background1" w:themeShade="D9" w:sz="8" w:space="0"/>
            <w:left w:val="single" w:color="D8D8D8" w:themeColor="background1" w:themeShade="D9" w:sz="8" w:space="0"/>
            <w:bottom w:val="single" w:color="D8D8D8" w:themeColor="background1" w:themeShade="D9" w:sz="8" w:space="0"/>
            <w:right w:val="single" w:color="D8D8D8" w:themeColor="background1" w:themeShade="D9" w:sz="8" w:space="0"/>
            <w:insideH w:val="none" w:color="auto" w:sz="0" w:space="0"/>
            <w:insideV w:val="none" w:color="auto" w:sz="0" w:space="0"/>
          </w:tblBorders>
          <w:tblCellMar>
            <w:top w:w="0" w:type="dxa"/>
            <w:left w:w="108" w:type="dxa"/>
            <w:bottom w:w="0" w:type="dxa"/>
            <w:right w:w="108" w:type="dxa"/>
          </w:tblCellMar>
        </w:tblPrEx>
        <w:tc>
          <w:tcPr>
            <w:tcW w:w="10780" w:type="dxa"/>
            <w:shd w:val="clear" w:color="auto" w:fill="auto"/>
            <w:vAlign w:val="center"/>
          </w:tcPr>
          <w:p w14:paraId="47C017BD">
            <w:pPr>
              <w:rPr>
                <w:rFonts w:cstheme="minorHAnsi"/>
                <w:color w:val="181717" w:themeColor="background2" w:themeShade="1A"/>
              </w:rPr>
            </w:pPr>
          </w:p>
        </w:tc>
      </w:tr>
    </w:tbl>
    <w:p w14:paraId="65786A86">
      <w:pPr>
        <w:pStyle w:val="39"/>
        <w:numPr>
          <w:ilvl w:val="0"/>
          <w:numId w:val="5"/>
        </w:numPr>
        <w:spacing w:before="120"/>
        <w:ind w:left="360"/>
        <w:rPr>
          <w:rFonts w:cstheme="minorHAnsi"/>
          <w:sz w:val="22"/>
          <w:szCs w:val="22"/>
        </w:rPr>
      </w:pPr>
      <w:r>
        <w:rPr>
          <w:rFonts w:cstheme="minorHAnsi"/>
          <w:sz w:val="22"/>
          <w:szCs w:val="22"/>
        </w:rPr>
        <w:t xml:space="preserve">For </w:t>
      </w:r>
      <w:r>
        <w:fldChar w:fldCharType="begin"/>
      </w:r>
      <w:r>
        <w:instrText xml:space="preserve"> HYPERLINK \l "GlobalAccess" </w:instrText>
      </w:r>
      <w:r>
        <w:fldChar w:fldCharType="separate"/>
      </w:r>
      <w:r>
        <w:rPr>
          <w:rStyle w:val="16"/>
          <w:rFonts w:cstheme="minorHAnsi"/>
          <w:sz w:val="22"/>
          <w:szCs w:val="22"/>
        </w:rPr>
        <w:t>Global Access</w:t>
      </w:r>
      <w:r>
        <w:rPr>
          <w:rStyle w:val="16"/>
          <w:rFonts w:cstheme="minorHAnsi"/>
          <w:sz w:val="22"/>
          <w:szCs w:val="22"/>
        </w:rPr>
        <w:fldChar w:fldCharType="end"/>
      </w:r>
      <w:r>
        <w:rPr>
          <w:rFonts w:cstheme="minorHAnsi"/>
          <w:sz w:val="22"/>
          <w:szCs w:val="22"/>
        </w:rPr>
        <w:t xml:space="preserve"> purposes, please confirm that you will make available the funded developments and any </w:t>
      </w:r>
      <w:r>
        <w:fldChar w:fldCharType="begin"/>
      </w:r>
      <w:r>
        <w:instrText xml:space="preserve"> HYPERLINK \l "BackgroundTechnology" </w:instrText>
      </w:r>
      <w:r>
        <w:fldChar w:fldCharType="separate"/>
      </w:r>
      <w:r>
        <w:rPr>
          <w:rStyle w:val="16"/>
          <w:rFonts w:cstheme="minorHAnsi"/>
          <w:sz w:val="22"/>
          <w:szCs w:val="22"/>
        </w:rPr>
        <w:t>Background Technology</w:t>
      </w:r>
      <w:r>
        <w:rPr>
          <w:rStyle w:val="16"/>
          <w:rFonts w:cstheme="minorHAnsi"/>
          <w:sz w:val="22"/>
          <w:szCs w:val="22"/>
        </w:rPr>
        <w:fldChar w:fldCharType="end"/>
      </w:r>
      <w:r>
        <w:rPr>
          <w:rFonts w:cstheme="minorHAnsi"/>
          <w:sz w:val="22"/>
          <w:szCs w:val="22"/>
        </w:rPr>
        <w:t xml:space="preserve"> that is (a) owned, controlled, or developed by you, or in-licensed with the right to sublicense; and (b) either incorporated into a funded development or reasonably required to use the funded development. For more information, see the Global Access terms located in the foundation’s </w:t>
      </w:r>
      <w:r>
        <w:fldChar w:fldCharType="begin"/>
      </w:r>
      <w:r>
        <w:instrText xml:space="preserve"> HYPERLINK "https://docs.gatesfoundation.org/Documents/Sample-Terms-and-Conditions.pdf" </w:instrText>
      </w:r>
      <w:r>
        <w:fldChar w:fldCharType="separate"/>
      </w:r>
      <w:r>
        <w:rPr>
          <w:rStyle w:val="16"/>
          <w:rFonts w:cstheme="minorHAnsi"/>
          <w:sz w:val="22"/>
          <w:szCs w:val="22"/>
        </w:rPr>
        <w:t>standard grant terms and conditions.</w:t>
      </w:r>
      <w:r>
        <w:rPr>
          <w:rStyle w:val="16"/>
          <w:rFonts w:cstheme="minorHAnsi"/>
          <w:sz w:val="22"/>
          <w:szCs w:val="22"/>
        </w:rPr>
        <w:fldChar w:fldCharType="end"/>
      </w:r>
    </w:p>
    <w:p w14:paraId="579B81D3">
      <w:pPr>
        <w:pStyle w:val="40"/>
        <w:rPr>
          <w:rFonts w:cstheme="minorHAnsi"/>
          <w:sz w:val="22"/>
          <w:szCs w:val="22"/>
        </w:rPr>
      </w:pPr>
      <w:r>
        <w:rPr>
          <w:rFonts w:cstheme="minorHAnsi"/>
          <w:sz w:val="22"/>
          <w:szCs w:val="22"/>
          <w:u w:val="single"/>
        </w:rPr>
        <w:t>__</w:t>
      </w:r>
      <w:r>
        <w:rPr>
          <w:rFonts w:cstheme="minorHAnsi"/>
          <w:sz w:val="22"/>
          <w:szCs w:val="22"/>
        </w:rPr>
        <w:t>Confirmed     ___Not confirmed (please explain)</w:t>
      </w:r>
    </w:p>
    <w:tbl>
      <w:tblPr>
        <w:tblStyle w:val="41"/>
        <w:tblW w:w="0" w:type="auto"/>
        <w:tblInd w:w="360" w:type="dxa"/>
        <w:tblBorders>
          <w:top w:val="single" w:color="D8D8D8" w:themeColor="background1" w:themeShade="D9" w:sz="8" w:space="0"/>
          <w:left w:val="single" w:color="D8D8D8" w:themeColor="background1" w:themeShade="D9" w:sz="8" w:space="0"/>
          <w:bottom w:val="single" w:color="D8D8D8" w:themeColor="background1" w:themeShade="D9" w:sz="8" w:space="0"/>
          <w:right w:val="single" w:color="D8D8D8" w:themeColor="background1" w:themeShade="D9" w:sz="8" w:space="0"/>
          <w:insideH w:val="none" w:color="auto" w:sz="0" w:space="0"/>
          <w:insideV w:val="none" w:color="auto" w:sz="0" w:space="0"/>
        </w:tblBorders>
        <w:tblLayout w:type="autofit"/>
        <w:tblCellMar>
          <w:top w:w="0" w:type="dxa"/>
          <w:left w:w="108" w:type="dxa"/>
          <w:bottom w:w="0" w:type="dxa"/>
          <w:right w:w="108" w:type="dxa"/>
        </w:tblCellMar>
      </w:tblPr>
      <w:tblGrid>
        <w:gridCol w:w="10656"/>
      </w:tblGrid>
      <w:tr w14:paraId="6EB6A30A">
        <w:tblPrEx>
          <w:tblBorders>
            <w:top w:val="single" w:color="D8D8D8" w:themeColor="background1" w:themeShade="D9" w:sz="8" w:space="0"/>
            <w:left w:val="single" w:color="D8D8D8" w:themeColor="background1" w:themeShade="D9" w:sz="8" w:space="0"/>
            <w:bottom w:val="single" w:color="D8D8D8" w:themeColor="background1" w:themeShade="D9" w:sz="8" w:space="0"/>
            <w:right w:val="single" w:color="D8D8D8" w:themeColor="background1" w:themeShade="D9" w:sz="8" w:space="0"/>
            <w:insideH w:val="none" w:color="auto" w:sz="0" w:space="0"/>
            <w:insideV w:val="none" w:color="auto" w:sz="0" w:space="0"/>
          </w:tblBorders>
          <w:tblCellMar>
            <w:top w:w="0" w:type="dxa"/>
            <w:left w:w="108" w:type="dxa"/>
            <w:bottom w:w="0" w:type="dxa"/>
            <w:right w:w="108" w:type="dxa"/>
          </w:tblCellMar>
        </w:tblPrEx>
        <w:tc>
          <w:tcPr>
            <w:tcW w:w="10780" w:type="dxa"/>
            <w:shd w:val="clear" w:color="auto" w:fill="auto"/>
            <w:vAlign w:val="center"/>
          </w:tcPr>
          <w:p w14:paraId="03D0721E">
            <w:pPr>
              <w:rPr>
                <w:rFonts w:cstheme="minorHAnsi"/>
                <w:color w:val="181717" w:themeColor="background2" w:themeShade="1A"/>
              </w:rPr>
            </w:pPr>
          </w:p>
        </w:tc>
      </w:tr>
    </w:tbl>
    <w:p w14:paraId="4781A627">
      <w:pPr>
        <w:rPr>
          <w:rFonts w:cstheme="minorHAnsi"/>
          <w:lang w:eastAsia="zh-CN"/>
        </w:rPr>
      </w:pPr>
    </w:p>
    <w:sectPr>
      <w:headerReference r:id="rId7" w:type="first"/>
      <w:footerReference r:id="rId10" w:type="first"/>
      <w:headerReference r:id="rId5" w:type="default"/>
      <w:footerReference r:id="rId8" w:type="default"/>
      <w:headerReference r:id="rId6" w:type="even"/>
      <w:footerReference r:id="rId9" w:type="even"/>
      <w:pgSz w:w="12240" w:h="15840"/>
      <w:pgMar w:top="720" w:right="720" w:bottom="720" w:left="72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Arial,Times New Roman">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5261A">
    <w:pPr>
      <w:pStyle w:val="7"/>
      <w:tabs>
        <w:tab w:val="right" w:pos="10800"/>
        <w:tab w:val="clear" w:pos="9360"/>
      </w:tabs>
      <w:rPr>
        <w:sz w:val="18"/>
      </w:rPr>
    </w:pPr>
    <w:r>
      <w:rPr>
        <w:sz w:val="18"/>
        <w:szCs w:val="18"/>
      </w:rPr>
      <w:t>0</w:t>
    </w:r>
    <w:r>
      <w:rPr>
        <w:rFonts w:hint="eastAsia"/>
        <w:sz w:val="18"/>
        <w:szCs w:val="18"/>
        <w:lang w:eastAsia="zh-CN"/>
      </w:rPr>
      <w:t>6</w:t>
    </w:r>
    <w:r>
      <w:rPr>
        <w:sz w:val="18"/>
        <w:szCs w:val="18"/>
      </w:rPr>
      <w:t>/</w:t>
    </w:r>
    <w:r>
      <w:rPr>
        <w:rFonts w:hint="eastAsia"/>
        <w:sz w:val="18"/>
        <w:szCs w:val="18"/>
        <w:lang w:eastAsia="zh-CN"/>
      </w:rPr>
      <w:t>5</w:t>
    </w:r>
    <w:r>
      <w:rPr>
        <w:sz w:val="18"/>
        <w:szCs w:val="18"/>
      </w:rPr>
      <w:t>/202</w:t>
    </w:r>
    <w:r>
      <w:rPr>
        <w:rFonts w:hint="eastAsia"/>
        <w:sz w:val="18"/>
        <w:szCs w:val="18"/>
        <w:lang w:eastAsia="zh-CN"/>
      </w:rPr>
      <w:t>5</w:t>
    </w:r>
    <w:r>
      <w:rPr>
        <w:sz w:val="18"/>
        <w:szCs w:val="18"/>
      </w:rPr>
      <w:tab/>
    </w:r>
    <w:r>
      <w:rPr>
        <w:sz w:val="18"/>
        <w:szCs w:val="18"/>
      </w:rPr>
      <w:tab/>
    </w:r>
    <w:r>
      <w:rPr>
        <w:sz w:val="18"/>
        <w:szCs w:val="18"/>
      </w:rPr>
      <w:fldChar w:fldCharType="begin"/>
    </w:r>
    <w:r>
      <w:rPr>
        <w:sz w:val="18"/>
        <w:szCs w:val="18"/>
      </w:rPr>
      <w:instrText xml:space="preserve"> PAGE   \* MERGEFORMAT </w:instrText>
    </w:r>
    <w:r>
      <w:rPr>
        <w:sz w:val="18"/>
        <w:szCs w:val="18"/>
      </w:rPr>
      <w:fldChar w:fldCharType="separate"/>
    </w:r>
    <w:r>
      <w:rPr>
        <w:sz w:val="18"/>
        <w:szCs w:val="18"/>
      </w:rPr>
      <w:t>8</w:t>
    </w:r>
    <w:r>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D7032">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83FD7">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52618">
    <w:pPr>
      <w:pStyle w:val="8"/>
      <w:tabs>
        <w:tab w:val="right" w:pos="10710"/>
        <w:tab w:val="clear" w:pos="9360"/>
      </w:tabs>
    </w:pPr>
    <w:r>
      <w:tab/>
    </w:r>
  </w:p>
  <w:p w14:paraId="7C652619">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31A33">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411C1">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D9005E"/>
    <w:multiLevelType w:val="multilevel"/>
    <w:tmpl w:val="01D9005E"/>
    <w:lvl w:ilvl="0" w:tentative="0">
      <w:start w:val="1"/>
      <w:numFmt w:val="bullet"/>
      <w:pStyle w:val="39"/>
      <w:lvlText w:val=""/>
      <w:lvlJc w:val="left"/>
      <w:pPr>
        <w:ind w:left="720" w:hanging="360"/>
      </w:pPr>
      <w:rPr>
        <w:rFonts w:hint="default" w:ascii="Wingdings" w:hAnsi="Wingdings"/>
        <w:strike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AAC2A91"/>
    <w:multiLevelType w:val="multilevel"/>
    <w:tmpl w:val="0AAC2A9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3B803F6"/>
    <w:multiLevelType w:val="multilevel"/>
    <w:tmpl w:val="53B803F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572F6BA3"/>
    <w:multiLevelType w:val="multilevel"/>
    <w:tmpl w:val="572F6BA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6FB11834"/>
    <w:multiLevelType w:val="multilevel"/>
    <w:tmpl w:val="6FB11834"/>
    <w:lvl w:ilvl="0" w:tentative="0">
      <w:start w:val="1"/>
      <w:numFmt w:val="lowerLetter"/>
      <w:lvlText w:val="%1)"/>
      <w:lvlJc w:val="left"/>
      <w:pPr>
        <w:ind w:left="446" w:hanging="360"/>
      </w:pPr>
      <w:rPr>
        <w:rFonts w:hint="default"/>
        <w:b/>
        <w:color w:val="auto"/>
      </w:rPr>
    </w:lvl>
    <w:lvl w:ilvl="1" w:tentative="0">
      <w:start w:val="1"/>
      <w:numFmt w:val="lowerRoman"/>
      <w:lvlText w:val="%2."/>
      <w:lvlJc w:val="right"/>
      <w:pPr>
        <w:ind w:left="1166" w:hanging="360"/>
      </w:pPr>
    </w:lvl>
    <w:lvl w:ilvl="2" w:tentative="0">
      <w:start w:val="1"/>
      <w:numFmt w:val="lowerRoman"/>
      <w:lvlText w:val="%3."/>
      <w:lvlJc w:val="right"/>
      <w:pPr>
        <w:ind w:left="1886" w:hanging="180"/>
      </w:pPr>
    </w:lvl>
    <w:lvl w:ilvl="3" w:tentative="0">
      <w:start w:val="1"/>
      <w:numFmt w:val="decimal"/>
      <w:lvlText w:val="%4."/>
      <w:lvlJc w:val="left"/>
      <w:pPr>
        <w:ind w:left="2606" w:hanging="360"/>
      </w:pPr>
    </w:lvl>
    <w:lvl w:ilvl="4" w:tentative="0">
      <w:start w:val="1"/>
      <w:numFmt w:val="lowerLetter"/>
      <w:lvlText w:val="%5."/>
      <w:lvlJc w:val="left"/>
      <w:pPr>
        <w:ind w:left="3326" w:hanging="360"/>
      </w:pPr>
    </w:lvl>
    <w:lvl w:ilvl="5" w:tentative="0">
      <w:start w:val="1"/>
      <w:numFmt w:val="lowerRoman"/>
      <w:lvlText w:val="%6."/>
      <w:lvlJc w:val="right"/>
      <w:pPr>
        <w:ind w:left="4046" w:hanging="180"/>
      </w:pPr>
    </w:lvl>
    <w:lvl w:ilvl="6" w:tentative="0">
      <w:start w:val="1"/>
      <w:numFmt w:val="decimal"/>
      <w:lvlText w:val="%7."/>
      <w:lvlJc w:val="left"/>
      <w:pPr>
        <w:ind w:left="4766" w:hanging="360"/>
      </w:pPr>
    </w:lvl>
    <w:lvl w:ilvl="7" w:tentative="0">
      <w:start w:val="1"/>
      <w:numFmt w:val="lowerLetter"/>
      <w:lvlText w:val="%8."/>
      <w:lvlJc w:val="left"/>
      <w:pPr>
        <w:ind w:left="5486" w:hanging="360"/>
      </w:pPr>
    </w:lvl>
    <w:lvl w:ilvl="8" w:tentative="0">
      <w:start w:val="1"/>
      <w:numFmt w:val="lowerRoman"/>
      <w:lvlText w:val="%9."/>
      <w:lvlJc w:val="right"/>
      <w:pPr>
        <w:ind w:left="6206"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3C7"/>
    <w:rsid w:val="00002E4A"/>
    <w:rsid w:val="000030DA"/>
    <w:rsid w:val="00003151"/>
    <w:rsid w:val="0000612F"/>
    <w:rsid w:val="00011C66"/>
    <w:rsid w:val="00015B04"/>
    <w:rsid w:val="000210AE"/>
    <w:rsid w:val="00024FBE"/>
    <w:rsid w:val="00025452"/>
    <w:rsid w:val="00026850"/>
    <w:rsid w:val="00027706"/>
    <w:rsid w:val="0003038F"/>
    <w:rsid w:val="00040B0C"/>
    <w:rsid w:val="00043D59"/>
    <w:rsid w:val="00046AA3"/>
    <w:rsid w:val="00053291"/>
    <w:rsid w:val="00055684"/>
    <w:rsid w:val="000556D3"/>
    <w:rsid w:val="0005656F"/>
    <w:rsid w:val="00061A60"/>
    <w:rsid w:val="000678A6"/>
    <w:rsid w:val="00070297"/>
    <w:rsid w:val="00074AC6"/>
    <w:rsid w:val="000818A7"/>
    <w:rsid w:val="0008282C"/>
    <w:rsid w:val="000830AC"/>
    <w:rsid w:val="00083BDA"/>
    <w:rsid w:val="00094848"/>
    <w:rsid w:val="000958D9"/>
    <w:rsid w:val="0009690F"/>
    <w:rsid w:val="000A27AB"/>
    <w:rsid w:val="000A2CB6"/>
    <w:rsid w:val="000A4E0A"/>
    <w:rsid w:val="000A6F3B"/>
    <w:rsid w:val="000B09FC"/>
    <w:rsid w:val="000B1B33"/>
    <w:rsid w:val="000B6D1D"/>
    <w:rsid w:val="000B6DA3"/>
    <w:rsid w:val="000B72B5"/>
    <w:rsid w:val="000C6C8A"/>
    <w:rsid w:val="000D2392"/>
    <w:rsid w:val="000D3D42"/>
    <w:rsid w:val="000D45B6"/>
    <w:rsid w:val="000D6A77"/>
    <w:rsid w:val="000D75E8"/>
    <w:rsid w:val="000E03FD"/>
    <w:rsid w:val="000E0627"/>
    <w:rsid w:val="000E0947"/>
    <w:rsid w:val="000E2C15"/>
    <w:rsid w:val="000E3109"/>
    <w:rsid w:val="000E3EB4"/>
    <w:rsid w:val="000E42BF"/>
    <w:rsid w:val="000F25AC"/>
    <w:rsid w:val="000F614B"/>
    <w:rsid w:val="00103A07"/>
    <w:rsid w:val="00125163"/>
    <w:rsid w:val="001266B8"/>
    <w:rsid w:val="00126CC6"/>
    <w:rsid w:val="00143F04"/>
    <w:rsid w:val="00145024"/>
    <w:rsid w:val="001452A7"/>
    <w:rsid w:val="0014628D"/>
    <w:rsid w:val="001467EF"/>
    <w:rsid w:val="00146FD5"/>
    <w:rsid w:val="001574DD"/>
    <w:rsid w:val="00161F64"/>
    <w:rsid w:val="00162FFC"/>
    <w:rsid w:val="001642E2"/>
    <w:rsid w:val="001667DA"/>
    <w:rsid w:val="00177992"/>
    <w:rsid w:val="00180BAD"/>
    <w:rsid w:val="00185F06"/>
    <w:rsid w:val="001866D9"/>
    <w:rsid w:val="00186DBF"/>
    <w:rsid w:val="00190189"/>
    <w:rsid w:val="00191AF2"/>
    <w:rsid w:val="0019557C"/>
    <w:rsid w:val="00195979"/>
    <w:rsid w:val="0019686D"/>
    <w:rsid w:val="001A639B"/>
    <w:rsid w:val="001A6520"/>
    <w:rsid w:val="001B04FC"/>
    <w:rsid w:val="001B2799"/>
    <w:rsid w:val="001C0FBC"/>
    <w:rsid w:val="001C36AF"/>
    <w:rsid w:val="001C3DC3"/>
    <w:rsid w:val="001C63B6"/>
    <w:rsid w:val="001D5F3C"/>
    <w:rsid w:val="001E153A"/>
    <w:rsid w:val="001E228B"/>
    <w:rsid w:val="001E37D9"/>
    <w:rsid w:val="001E616C"/>
    <w:rsid w:val="001F2701"/>
    <w:rsid w:val="001F47C8"/>
    <w:rsid w:val="001F5EF9"/>
    <w:rsid w:val="00202ABE"/>
    <w:rsid w:val="00204067"/>
    <w:rsid w:val="00205231"/>
    <w:rsid w:val="002062C1"/>
    <w:rsid w:val="00212B83"/>
    <w:rsid w:val="0022085D"/>
    <w:rsid w:val="002236FE"/>
    <w:rsid w:val="002238F0"/>
    <w:rsid w:val="00224E1B"/>
    <w:rsid w:val="00225170"/>
    <w:rsid w:val="00230890"/>
    <w:rsid w:val="00230ADF"/>
    <w:rsid w:val="00231D84"/>
    <w:rsid w:val="0023440E"/>
    <w:rsid w:val="0023463A"/>
    <w:rsid w:val="00234992"/>
    <w:rsid w:val="00236060"/>
    <w:rsid w:val="0023622F"/>
    <w:rsid w:val="002402E8"/>
    <w:rsid w:val="002434C7"/>
    <w:rsid w:val="00244161"/>
    <w:rsid w:val="00244297"/>
    <w:rsid w:val="002511B0"/>
    <w:rsid w:val="002513AB"/>
    <w:rsid w:val="002536C1"/>
    <w:rsid w:val="00253AA7"/>
    <w:rsid w:val="00256B92"/>
    <w:rsid w:val="00262F1B"/>
    <w:rsid w:val="002637B7"/>
    <w:rsid w:val="0026610C"/>
    <w:rsid w:val="00266431"/>
    <w:rsid w:val="002666F9"/>
    <w:rsid w:val="00273B19"/>
    <w:rsid w:val="00280141"/>
    <w:rsid w:val="00280EBF"/>
    <w:rsid w:val="002816CA"/>
    <w:rsid w:val="00283BED"/>
    <w:rsid w:val="0028575D"/>
    <w:rsid w:val="00293554"/>
    <w:rsid w:val="002A12D3"/>
    <w:rsid w:val="002A192B"/>
    <w:rsid w:val="002A3AC3"/>
    <w:rsid w:val="002A4572"/>
    <w:rsid w:val="002A47CE"/>
    <w:rsid w:val="002A5C10"/>
    <w:rsid w:val="002B018E"/>
    <w:rsid w:val="002B5C0F"/>
    <w:rsid w:val="002B6E01"/>
    <w:rsid w:val="002C04A0"/>
    <w:rsid w:val="002C3889"/>
    <w:rsid w:val="002C54D1"/>
    <w:rsid w:val="002C71CA"/>
    <w:rsid w:val="002D40DA"/>
    <w:rsid w:val="002D6D8C"/>
    <w:rsid w:val="002E1AEF"/>
    <w:rsid w:val="002E3089"/>
    <w:rsid w:val="002E7E0D"/>
    <w:rsid w:val="002F4F74"/>
    <w:rsid w:val="002F53EB"/>
    <w:rsid w:val="002F6BE3"/>
    <w:rsid w:val="00305BF0"/>
    <w:rsid w:val="003060CD"/>
    <w:rsid w:val="003120EC"/>
    <w:rsid w:val="00313B34"/>
    <w:rsid w:val="0031663D"/>
    <w:rsid w:val="00320615"/>
    <w:rsid w:val="0032068F"/>
    <w:rsid w:val="003210D6"/>
    <w:rsid w:val="00324C12"/>
    <w:rsid w:val="00337D54"/>
    <w:rsid w:val="003413EB"/>
    <w:rsid w:val="00341902"/>
    <w:rsid w:val="00341FB0"/>
    <w:rsid w:val="003422BC"/>
    <w:rsid w:val="00345782"/>
    <w:rsid w:val="00347058"/>
    <w:rsid w:val="00352179"/>
    <w:rsid w:val="00353991"/>
    <w:rsid w:val="003604F5"/>
    <w:rsid w:val="003607AA"/>
    <w:rsid w:val="00361305"/>
    <w:rsid w:val="00361441"/>
    <w:rsid w:val="003622D6"/>
    <w:rsid w:val="003628DA"/>
    <w:rsid w:val="00363B6F"/>
    <w:rsid w:val="0038180A"/>
    <w:rsid w:val="00381BFC"/>
    <w:rsid w:val="003832A4"/>
    <w:rsid w:val="00383CDB"/>
    <w:rsid w:val="00383FC7"/>
    <w:rsid w:val="00384394"/>
    <w:rsid w:val="003904C8"/>
    <w:rsid w:val="003910DC"/>
    <w:rsid w:val="00395049"/>
    <w:rsid w:val="003A199B"/>
    <w:rsid w:val="003A2784"/>
    <w:rsid w:val="003A390B"/>
    <w:rsid w:val="003A6082"/>
    <w:rsid w:val="003A6952"/>
    <w:rsid w:val="003B1F2F"/>
    <w:rsid w:val="003B38A4"/>
    <w:rsid w:val="003B55A5"/>
    <w:rsid w:val="003C0A31"/>
    <w:rsid w:val="003C0E02"/>
    <w:rsid w:val="003C5657"/>
    <w:rsid w:val="003C5B7F"/>
    <w:rsid w:val="003C6158"/>
    <w:rsid w:val="003D1872"/>
    <w:rsid w:val="003D247F"/>
    <w:rsid w:val="003D3B1A"/>
    <w:rsid w:val="003D3BF5"/>
    <w:rsid w:val="003D6D69"/>
    <w:rsid w:val="003E0C00"/>
    <w:rsid w:val="003E12AB"/>
    <w:rsid w:val="003E17B0"/>
    <w:rsid w:val="003E71F4"/>
    <w:rsid w:val="003E7356"/>
    <w:rsid w:val="003F10CF"/>
    <w:rsid w:val="003F189B"/>
    <w:rsid w:val="003F40CC"/>
    <w:rsid w:val="003F54ED"/>
    <w:rsid w:val="003F7896"/>
    <w:rsid w:val="00401C76"/>
    <w:rsid w:val="004055B8"/>
    <w:rsid w:val="004062D6"/>
    <w:rsid w:val="004078F0"/>
    <w:rsid w:val="004100C4"/>
    <w:rsid w:val="00412B4D"/>
    <w:rsid w:val="00413E10"/>
    <w:rsid w:val="00413F5C"/>
    <w:rsid w:val="00414128"/>
    <w:rsid w:val="004171AD"/>
    <w:rsid w:val="00417F16"/>
    <w:rsid w:val="00420D77"/>
    <w:rsid w:val="0042359A"/>
    <w:rsid w:val="00423BE7"/>
    <w:rsid w:val="00424642"/>
    <w:rsid w:val="00425447"/>
    <w:rsid w:val="004274AD"/>
    <w:rsid w:val="00430EB7"/>
    <w:rsid w:val="004331C2"/>
    <w:rsid w:val="0043389E"/>
    <w:rsid w:val="004366D0"/>
    <w:rsid w:val="00447E44"/>
    <w:rsid w:val="00454BDD"/>
    <w:rsid w:val="00457118"/>
    <w:rsid w:val="00457D9F"/>
    <w:rsid w:val="004654A2"/>
    <w:rsid w:val="00465837"/>
    <w:rsid w:val="00470C01"/>
    <w:rsid w:val="00475B2A"/>
    <w:rsid w:val="00476988"/>
    <w:rsid w:val="00483C6B"/>
    <w:rsid w:val="004874EB"/>
    <w:rsid w:val="0049091F"/>
    <w:rsid w:val="00490B0B"/>
    <w:rsid w:val="0049147D"/>
    <w:rsid w:val="004929D6"/>
    <w:rsid w:val="0049420C"/>
    <w:rsid w:val="00495689"/>
    <w:rsid w:val="004A17B9"/>
    <w:rsid w:val="004A2C1B"/>
    <w:rsid w:val="004A76D8"/>
    <w:rsid w:val="004B0A18"/>
    <w:rsid w:val="004B3563"/>
    <w:rsid w:val="004B3EC6"/>
    <w:rsid w:val="004B6683"/>
    <w:rsid w:val="004B7F1E"/>
    <w:rsid w:val="004C43CD"/>
    <w:rsid w:val="004C5889"/>
    <w:rsid w:val="004D5B7B"/>
    <w:rsid w:val="004D6C14"/>
    <w:rsid w:val="004E13B4"/>
    <w:rsid w:val="004E2A12"/>
    <w:rsid w:val="004E4BB0"/>
    <w:rsid w:val="004F42A4"/>
    <w:rsid w:val="004F61D1"/>
    <w:rsid w:val="00505139"/>
    <w:rsid w:val="00506A13"/>
    <w:rsid w:val="00510E59"/>
    <w:rsid w:val="00514BC4"/>
    <w:rsid w:val="005156C2"/>
    <w:rsid w:val="00517217"/>
    <w:rsid w:val="00523F9A"/>
    <w:rsid w:val="00525B73"/>
    <w:rsid w:val="005331F2"/>
    <w:rsid w:val="00535CAF"/>
    <w:rsid w:val="00540418"/>
    <w:rsid w:val="00541221"/>
    <w:rsid w:val="00545585"/>
    <w:rsid w:val="005463C7"/>
    <w:rsid w:val="00547CCD"/>
    <w:rsid w:val="005510BA"/>
    <w:rsid w:val="005525B8"/>
    <w:rsid w:val="0055655E"/>
    <w:rsid w:val="0055781A"/>
    <w:rsid w:val="00560C8E"/>
    <w:rsid w:val="00560F12"/>
    <w:rsid w:val="00571175"/>
    <w:rsid w:val="0058615F"/>
    <w:rsid w:val="00587E1F"/>
    <w:rsid w:val="00594D35"/>
    <w:rsid w:val="00594F9A"/>
    <w:rsid w:val="005A092C"/>
    <w:rsid w:val="005A094D"/>
    <w:rsid w:val="005A7820"/>
    <w:rsid w:val="005B07D1"/>
    <w:rsid w:val="005B1E1B"/>
    <w:rsid w:val="005B2AE4"/>
    <w:rsid w:val="005B2EE3"/>
    <w:rsid w:val="005C144B"/>
    <w:rsid w:val="005C6A90"/>
    <w:rsid w:val="005C6CC6"/>
    <w:rsid w:val="005D188F"/>
    <w:rsid w:val="005D1D02"/>
    <w:rsid w:val="005D3E4E"/>
    <w:rsid w:val="005D45DB"/>
    <w:rsid w:val="005D65DC"/>
    <w:rsid w:val="005E4EEF"/>
    <w:rsid w:val="005E507C"/>
    <w:rsid w:val="005E555E"/>
    <w:rsid w:val="005E55A5"/>
    <w:rsid w:val="005E6397"/>
    <w:rsid w:val="005F35F5"/>
    <w:rsid w:val="005F4841"/>
    <w:rsid w:val="005F49BF"/>
    <w:rsid w:val="005F54C0"/>
    <w:rsid w:val="006000ED"/>
    <w:rsid w:val="00600A98"/>
    <w:rsid w:val="006026C9"/>
    <w:rsid w:val="00604D19"/>
    <w:rsid w:val="00610AC0"/>
    <w:rsid w:val="00611556"/>
    <w:rsid w:val="00614271"/>
    <w:rsid w:val="00615B6C"/>
    <w:rsid w:val="00620549"/>
    <w:rsid w:val="00623083"/>
    <w:rsid w:val="006258AF"/>
    <w:rsid w:val="006258BC"/>
    <w:rsid w:val="00627539"/>
    <w:rsid w:val="006302DA"/>
    <w:rsid w:val="0063533B"/>
    <w:rsid w:val="006354AF"/>
    <w:rsid w:val="00641E22"/>
    <w:rsid w:val="00642197"/>
    <w:rsid w:val="00642395"/>
    <w:rsid w:val="00646E13"/>
    <w:rsid w:val="00650075"/>
    <w:rsid w:val="006509C4"/>
    <w:rsid w:val="00652278"/>
    <w:rsid w:val="00655BD5"/>
    <w:rsid w:val="0066220F"/>
    <w:rsid w:val="00665499"/>
    <w:rsid w:val="006726C1"/>
    <w:rsid w:val="00673938"/>
    <w:rsid w:val="00676575"/>
    <w:rsid w:val="00677531"/>
    <w:rsid w:val="00680874"/>
    <w:rsid w:val="00681DEB"/>
    <w:rsid w:val="006820F1"/>
    <w:rsid w:val="0068585E"/>
    <w:rsid w:val="00694CD0"/>
    <w:rsid w:val="006960A5"/>
    <w:rsid w:val="00697225"/>
    <w:rsid w:val="00697424"/>
    <w:rsid w:val="006A3CAC"/>
    <w:rsid w:val="006A6FCD"/>
    <w:rsid w:val="006A7D91"/>
    <w:rsid w:val="006B0D0A"/>
    <w:rsid w:val="006C012C"/>
    <w:rsid w:val="006C37FC"/>
    <w:rsid w:val="006C5F18"/>
    <w:rsid w:val="006D07FB"/>
    <w:rsid w:val="006D2BCD"/>
    <w:rsid w:val="006D2FE7"/>
    <w:rsid w:val="006D3576"/>
    <w:rsid w:val="006D5B03"/>
    <w:rsid w:val="006D7A0D"/>
    <w:rsid w:val="006E5DE6"/>
    <w:rsid w:val="006F233F"/>
    <w:rsid w:val="006F2734"/>
    <w:rsid w:val="006F445F"/>
    <w:rsid w:val="006F5B5C"/>
    <w:rsid w:val="006F5C99"/>
    <w:rsid w:val="006F709C"/>
    <w:rsid w:val="00702084"/>
    <w:rsid w:val="00705CCB"/>
    <w:rsid w:val="00710C80"/>
    <w:rsid w:val="0071721D"/>
    <w:rsid w:val="00724BF5"/>
    <w:rsid w:val="00727DF0"/>
    <w:rsid w:val="007306D5"/>
    <w:rsid w:val="00733005"/>
    <w:rsid w:val="007355B2"/>
    <w:rsid w:val="00740216"/>
    <w:rsid w:val="00744022"/>
    <w:rsid w:val="007440FC"/>
    <w:rsid w:val="00744D1F"/>
    <w:rsid w:val="00746CC1"/>
    <w:rsid w:val="00751306"/>
    <w:rsid w:val="0075371E"/>
    <w:rsid w:val="00755116"/>
    <w:rsid w:val="00755BE2"/>
    <w:rsid w:val="00761C38"/>
    <w:rsid w:val="00764672"/>
    <w:rsid w:val="00765021"/>
    <w:rsid w:val="00765698"/>
    <w:rsid w:val="0076782A"/>
    <w:rsid w:val="00772A7B"/>
    <w:rsid w:val="0077714C"/>
    <w:rsid w:val="00780EC2"/>
    <w:rsid w:val="00781BD6"/>
    <w:rsid w:val="007856E5"/>
    <w:rsid w:val="00792251"/>
    <w:rsid w:val="00797DCD"/>
    <w:rsid w:val="007A14A5"/>
    <w:rsid w:val="007A234E"/>
    <w:rsid w:val="007A3276"/>
    <w:rsid w:val="007A3FF9"/>
    <w:rsid w:val="007A4D19"/>
    <w:rsid w:val="007A6099"/>
    <w:rsid w:val="007A693B"/>
    <w:rsid w:val="007B174E"/>
    <w:rsid w:val="007B390B"/>
    <w:rsid w:val="007B7E74"/>
    <w:rsid w:val="007C0D4C"/>
    <w:rsid w:val="007D1C69"/>
    <w:rsid w:val="007D2294"/>
    <w:rsid w:val="007D2709"/>
    <w:rsid w:val="007E0ED8"/>
    <w:rsid w:val="007E558D"/>
    <w:rsid w:val="007E57F6"/>
    <w:rsid w:val="007E5853"/>
    <w:rsid w:val="007E63D8"/>
    <w:rsid w:val="007E6994"/>
    <w:rsid w:val="007F0B5A"/>
    <w:rsid w:val="007F53A5"/>
    <w:rsid w:val="007F7B2C"/>
    <w:rsid w:val="00805D02"/>
    <w:rsid w:val="00806E44"/>
    <w:rsid w:val="0081230F"/>
    <w:rsid w:val="00812BF0"/>
    <w:rsid w:val="00813A4B"/>
    <w:rsid w:val="00822103"/>
    <w:rsid w:val="008235CD"/>
    <w:rsid w:val="00826863"/>
    <w:rsid w:val="0083386D"/>
    <w:rsid w:val="00842804"/>
    <w:rsid w:val="008429E0"/>
    <w:rsid w:val="00843446"/>
    <w:rsid w:val="0084398D"/>
    <w:rsid w:val="00844BFD"/>
    <w:rsid w:val="008467BD"/>
    <w:rsid w:val="00846B01"/>
    <w:rsid w:val="008518ED"/>
    <w:rsid w:val="008526BF"/>
    <w:rsid w:val="00852A89"/>
    <w:rsid w:val="00857492"/>
    <w:rsid w:val="00860602"/>
    <w:rsid w:val="0086403F"/>
    <w:rsid w:val="008646B1"/>
    <w:rsid w:val="008655D3"/>
    <w:rsid w:val="008802FF"/>
    <w:rsid w:val="008828F5"/>
    <w:rsid w:val="008843B7"/>
    <w:rsid w:val="0088451A"/>
    <w:rsid w:val="0088730A"/>
    <w:rsid w:val="008931F7"/>
    <w:rsid w:val="00896F81"/>
    <w:rsid w:val="008A0760"/>
    <w:rsid w:val="008A169C"/>
    <w:rsid w:val="008A2815"/>
    <w:rsid w:val="008A2A56"/>
    <w:rsid w:val="008A5E3C"/>
    <w:rsid w:val="008A7CCB"/>
    <w:rsid w:val="008B1B2C"/>
    <w:rsid w:val="008B45EF"/>
    <w:rsid w:val="008B6D34"/>
    <w:rsid w:val="008C265C"/>
    <w:rsid w:val="008C2DCE"/>
    <w:rsid w:val="008C5F05"/>
    <w:rsid w:val="008C627D"/>
    <w:rsid w:val="008D457D"/>
    <w:rsid w:val="008D75C6"/>
    <w:rsid w:val="008E13BB"/>
    <w:rsid w:val="008E2E82"/>
    <w:rsid w:val="008E39A8"/>
    <w:rsid w:val="008E4119"/>
    <w:rsid w:val="008E757B"/>
    <w:rsid w:val="008F4129"/>
    <w:rsid w:val="008F55DF"/>
    <w:rsid w:val="008F62DD"/>
    <w:rsid w:val="00903B04"/>
    <w:rsid w:val="0090740D"/>
    <w:rsid w:val="00911C07"/>
    <w:rsid w:val="0092068A"/>
    <w:rsid w:val="00920A2D"/>
    <w:rsid w:val="00921739"/>
    <w:rsid w:val="009256D3"/>
    <w:rsid w:val="00933080"/>
    <w:rsid w:val="00933F17"/>
    <w:rsid w:val="00940C08"/>
    <w:rsid w:val="0094114A"/>
    <w:rsid w:val="0095413C"/>
    <w:rsid w:val="00962FC2"/>
    <w:rsid w:val="00973B19"/>
    <w:rsid w:val="00975E22"/>
    <w:rsid w:val="009772A6"/>
    <w:rsid w:val="009779D9"/>
    <w:rsid w:val="0098196C"/>
    <w:rsid w:val="0098241C"/>
    <w:rsid w:val="00986701"/>
    <w:rsid w:val="00986E44"/>
    <w:rsid w:val="00990734"/>
    <w:rsid w:val="009915A5"/>
    <w:rsid w:val="00993DB4"/>
    <w:rsid w:val="00994155"/>
    <w:rsid w:val="00994B59"/>
    <w:rsid w:val="009A1E11"/>
    <w:rsid w:val="009A2152"/>
    <w:rsid w:val="009A292D"/>
    <w:rsid w:val="009A2BB2"/>
    <w:rsid w:val="009A5F0D"/>
    <w:rsid w:val="009B0077"/>
    <w:rsid w:val="009B0D30"/>
    <w:rsid w:val="009B3671"/>
    <w:rsid w:val="009B4350"/>
    <w:rsid w:val="009B5B87"/>
    <w:rsid w:val="009C0E5B"/>
    <w:rsid w:val="009C2AB0"/>
    <w:rsid w:val="009C320E"/>
    <w:rsid w:val="009D06BC"/>
    <w:rsid w:val="009D138A"/>
    <w:rsid w:val="009D1B31"/>
    <w:rsid w:val="009D2553"/>
    <w:rsid w:val="009D6743"/>
    <w:rsid w:val="009E2110"/>
    <w:rsid w:val="009E378F"/>
    <w:rsid w:val="009E44F0"/>
    <w:rsid w:val="009F0484"/>
    <w:rsid w:val="009F481B"/>
    <w:rsid w:val="009F5385"/>
    <w:rsid w:val="009F6E2B"/>
    <w:rsid w:val="009F743F"/>
    <w:rsid w:val="00A078EE"/>
    <w:rsid w:val="00A108A4"/>
    <w:rsid w:val="00A1414D"/>
    <w:rsid w:val="00A14980"/>
    <w:rsid w:val="00A169AC"/>
    <w:rsid w:val="00A16FB5"/>
    <w:rsid w:val="00A177F4"/>
    <w:rsid w:val="00A22112"/>
    <w:rsid w:val="00A221A2"/>
    <w:rsid w:val="00A246D9"/>
    <w:rsid w:val="00A2566E"/>
    <w:rsid w:val="00A263C4"/>
    <w:rsid w:val="00A272D4"/>
    <w:rsid w:val="00A306F6"/>
    <w:rsid w:val="00A33327"/>
    <w:rsid w:val="00A34B60"/>
    <w:rsid w:val="00A35913"/>
    <w:rsid w:val="00A43162"/>
    <w:rsid w:val="00A43390"/>
    <w:rsid w:val="00A456EB"/>
    <w:rsid w:val="00A52C62"/>
    <w:rsid w:val="00A53A01"/>
    <w:rsid w:val="00A56B43"/>
    <w:rsid w:val="00A60DF8"/>
    <w:rsid w:val="00A625BF"/>
    <w:rsid w:val="00A64353"/>
    <w:rsid w:val="00A65B92"/>
    <w:rsid w:val="00A721E8"/>
    <w:rsid w:val="00A75CDC"/>
    <w:rsid w:val="00A80A4D"/>
    <w:rsid w:val="00A817F3"/>
    <w:rsid w:val="00A8273A"/>
    <w:rsid w:val="00A83F65"/>
    <w:rsid w:val="00A84756"/>
    <w:rsid w:val="00A858B2"/>
    <w:rsid w:val="00A87CFA"/>
    <w:rsid w:val="00A934AA"/>
    <w:rsid w:val="00A942CD"/>
    <w:rsid w:val="00A94964"/>
    <w:rsid w:val="00A95B3C"/>
    <w:rsid w:val="00A96D63"/>
    <w:rsid w:val="00AA3667"/>
    <w:rsid w:val="00AA3963"/>
    <w:rsid w:val="00AA3F56"/>
    <w:rsid w:val="00AA79EB"/>
    <w:rsid w:val="00AB57D3"/>
    <w:rsid w:val="00AC125B"/>
    <w:rsid w:val="00AC411A"/>
    <w:rsid w:val="00AC4E7D"/>
    <w:rsid w:val="00AD068E"/>
    <w:rsid w:val="00AD5AAD"/>
    <w:rsid w:val="00AE15E8"/>
    <w:rsid w:val="00AE271C"/>
    <w:rsid w:val="00AE2CD7"/>
    <w:rsid w:val="00AE3D52"/>
    <w:rsid w:val="00AF3793"/>
    <w:rsid w:val="00AF3FCF"/>
    <w:rsid w:val="00AF4A6C"/>
    <w:rsid w:val="00AF5D39"/>
    <w:rsid w:val="00B02CE5"/>
    <w:rsid w:val="00B05415"/>
    <w:rsid w:val="00B057F1"/>
    <w:rsid w:val="00B07024"/>
    <w:rsid w:val="00B135B5"/>
    <w:rsid w:val="00B14CF0"/>
    <w:rsid w:val="00B2157C"/>
    <w:rsid w:val="00B23F75"/>
    <w:rsid w:val="00B3275F"/>
    <w:rsid w:val="00B3411A"/>
    <w:rsid w:val="00B3513F"/>
    <w:rsid w:val="00B35C3A"/>
    <w:rsid w:val="00B366A4"/>
    <w:rsid w:val="00B37E36"/>
    <w:rsid w:val="00B40BEF"/>
    <w:rsid w:val="00B44E59"/>
    <w:rsid w:val="00B45700"/>
    <w:rsid w:val="00B45943"/>
    <w:rsid w:val="00B47E34"/>
    <w:rsid w:val="00B52BD3"/>
    <w:rsid w:val="00B56BF3"/>
    <w:rsid w:val="00B63339"/>
    <w:rsid w:val="00B6401B"/>
    <w:rsid w:val="00B64294"/>
    <w:rsid w:val="00B70681"/>
    <w:rsid w:val="00B719E9"/>
    <w:rsid w:val="00B72D7A"/>
    <w:rsid w:val="00B73E16"/>
    <w:rsid w:val="00B77D5F"/>
    <w:rsid w:val="00B8031F"/>
    <w:rsid w:val="00B80422"/>
    <w:rsid w:val="00B855A9"/>
    <w:rsid w:val="00B865A4"/>
    <w:rsid w:val="00B875D3"/>
    <w:rsid w:val="00BA4C89"/>
    <w:rsid w:val="00BA56BF"/>
    <w:rsid w:val="00BB562F"/>
    <w:rsid w:val="00BB5652"/>
    <w:rsid w:val="00BC0C57"/>
    <w:rsid w:val="00BC1214"/>
    <w:rsid w:val="00BD63FD"/>
    <w:rsid w:val="00BD664B"/>
    <w:rsid w:val="00BE27D9"/>
    <w:rsid w:val="00BE2C13"/>
    <w:rsid w:val="00BF03B3"/>
    <w:rsid w:val="00BF160F"/>
    <w:rsid w:val="00BF2708"/>
    <w:rsid w:val="00C036B3"/>
    <w:rsid w:val="00C03C0F"/>
    <w:rsid w:val="00C03DC3"/>
    <w:rsid w:val="00C10E9B"/>
    <w:rsid w:val="00C11AA7"/>
    <w:rsid w:val="00C13F9F"/>
    <w:rsid w:val="00C15475"/>
    <w:rsid w:val="00C170DF"/>
    <w:rsid w:val="00C22429"/>
    <w:rsid w:val="00C25428"/>
    <w:rsid w:val="00C30A31"/>
    <w:rsid w:val="00C313B7"/>
    <w:rsid w:val="00C3210D"/>
    <w:rsid w:val="00C33C5C"/>
    <w:rsid w:val="00C366C8"/>
    <w:rsid w:val="00C439E7"/>
    <w:rsid w:val="00C4645E"/>
    <w:rsid w:val="00C46D58"/>
    <w:rsid w:val="00C46E20"/>
    <w:rsid w:val="00C472DD"/>
    <w:rsid w:val="00C54172"/>
    <w:rsid w:val="00C63F7B"/>
    <w:rsid w:val="00C70270"/>
    <w:rsid w:val="00C76B08"/>
    <w:rsid w:val="00C77B45"/>
    <w:rsid w:val="00C83ECD"/>
    <w:rsid w:val="00C83F3A"/>
    <w:rsid w:val="00C8494C"/>
    <w:rsid w:val="00C87D04"/>
    <w:rsid w:val="00C90379"/>
    <w:rsid w:val="00C93036"/>
    <w:rsid w:val="00CA2239"/>
    <w:rsid w:val="00CA2279"/>
    <w:rsid w:val="00CA3620"/>
    <w:rsid w:val="00CA6763"/>
    <w:rsid w:val="00CA776E"/>
    <w:rsid w:val="00CB7FA2"/>
    <w:rsid w:val="00CC41E2"/>
    <w:rsid w:val="00CC515E"/>
    <w:rsid w:val="00CC7246"/>
    <w:rsid w:val="00CD369E"/>
    <w:rsid w:val="00CD6701"/>
    <w:rsid w:val="00CD7BDE"/>
    <w:rsid w:val="00CE1DAD"/>
    <w:rsid w:val="00CE60C3"/>
    <w:rsid w:val="00CE7C28"/>
    <w:rsid w:val="00CF32A7"/>
    <w:rsid w:val="00D00EAA"/>
    <w:rsid w:val="00D011BA"/>
    <w:rsid w:val="00D03392"/>
    <w:rsid w:val="00D04DD3"/>
    <w:rsid w:val="00D07223"/>
    <w:rsid w:val="00D12537"/>
    <w:rsid w:val="00D1588C"/>
    <w:rsid w:val="00D15D8F"/>
    <w:rsid w:val="00D16285"/>
    <w:rsid w:val="00D166AF"/>
    <w:rsid w:val="00D174A5"/>
    <w:rsid w:val="00D23856"/>
    <w:rsid w:val="00D242CC"/>
    <w:rsid w:val="00D27211"/>
    <w:rsid w:val="00D31C5C"/>
    <w:rsid w:val="00D353A1"/>
    <w:rsid w:val="00D40F71"/>
    <w:rsid w:val="00D46A4B"/>
    <w:rsid w:val="00D5121D"/>
    <w:rsid w:val="00D528D2"/>
    <w:rsid w:val="00D55B17"/>
    <w:rsid w:val="00D625F4"/>
    <w:rsid w:val="00D719EC"/>
    <w:rsid w:val="00D7679C"/>
    <w:rsid w:val="00D778C9"/>
    <w:rsid w:val="00D9560E"/>
    <w:rsid w:val="00D95FFB"/>
    <w:rsid w:val="00DA4BD3"/>
    <w:rsid w:val="00DA7F9A"/>
    <w:rsid w:val="00DB0581"/>
    <w:rsid w:val="00DB4748"/>
    <w:rsid w:val="00DC01BD"/>
    <w:rsid w:val="00DC2732"/>
    <w:rsid w:val="00DC49A6"/>
    <w:rsid w:val="00DD573A"/>
    <w:rsid w:val="00DD5F2F"/>
    <w:rsid w:val="00DD618A"/>
    <w:rsid w:val="00DE4045"/>
    <w:rsid w:val="00DF0A87"/>
    <w:rsid w:val="00E031DD"/>
    <w:rsid w:val="00E04B1D"/>
    <w:rsid w:val="00E04B42"/>
    <w:rsid w:val="00E10092"/>
    <w:rsid w:val="00E11B02"/>
    <w:rsid w:val="00E11E73"/>
    <w:rsid w:val="00E21408"/>
    <w:rsid w:val="00E21BC2"/>
    <w:rsid w:val="00E352BF"/>
    <w:rsid w:val="00E41196"/>
    <w:rsid w:val="00E42189"/>
    <w:rsid w:val="00E42B58"/>
    <w:rsid w:val="00E43BDD"/>
    <w:rsid w:val="00E474CD"/>
    <w:rsid w:val="00E501B2"/>
    <w:rsid w:val="00E6015C"/>
    <w:rsid w:val="00E607A5"/>
    <w:rsid w:val="00E62AD9"/>
    <w:rsid w:val="00E6448C"/>
    <w:rsid w:val="00E64C00"/>
    <w:rsid w:val="00E64F0C"/>
    <w:rsid w:val="00E73647"/>
    <w:rsid w:val="00E73BE3"/>
    <w:rsid w:val="00E74BD8"/>
    <w:rsid w:val="00E80943"/>
    <w:rsid w:val="00E81C85"/>
    <w:rsid w:val="00E82692"/>
    <w:rsid w:val="00E832DF"/>
    <w:rsid w:val="00E837AD"/>
    <w:rsid w:val="00E838C4"/>
    <w:rsid w:val="00E84E5D"/>
    <w:rsid w:val="00E8709B"/>
    <w:rsid w:val="00E9081F"/>
    <w:rsid w:val="00E9245B"/>
    <w:rsid w:val="00E944CC"/>
    <w:rsid w:val="00E94F80"/>
    <w:rsid w:val="00E9539F"/>
    <w:rsid w:val="00EA5D99"/>
    <w:rsid w:val="00EB0CB7"/>
    <w:rsid w:val="00EB3B29"/>
    <w:rsid w:val="00EC069B"/>
    <w:rsid w:val="00EC325A"/>
    <w:rsid w:val="00EC3A7F"/>
    <w:rsid w:val="00EC5052"/>
    <w:rsid w:val="00EC6E27"/>
    <w:rsid w:val="00ED3ED4"/>
    <w:rsid w:val="00ED3EF5"/>
    <w:rsid w:val="00ED6F45"/>
    <w:rsid w:val="00EE45D1"/>
    <w:rsid w:val="00EE4928"/>
    <w:rsid w:val="00EF22D6"/>
    <w:rsid w:val="00EF5096"/>
    <w:rsid w:val="00EF52CD"/>
    <w:rsid w:val="00EF6CA1"/>
    <w:rsid w:val="00F03DD7"/>
    <w:rsid w:val="00F137BE"/>
    <w:rsid w:val="00F13A97"/>
    <w:rsid w:val="00F15798"/>
    <w:rsid w:val="00F15E25"/>
    <w:rsid w:val="00F22D74"/>
    <w:rsid w:val="00F242DD"/>
    <w:rsid w:val="00F24D2E"/>
    <w:rsid w:val="00F2656C"/>
    <w:rsid w:val="00F309E3"/>
    <w:rsid w:val="00F31BA7"/>
    <w:rsid w:val="00F41AB1"/>
    <w:rsid w:val="00F41BB3"/>
    <w:rsid w:val="00F41F56"/>
    <w:rsid w:val="00F45BC6"/>
    <w:rsid w:val="00F467B9"/>
    <w:rsid w:val="00F5365D"/>
    <w:rsid w:val="00F53E09"/>
    <w:rsid w:val="00F6165E"/>
    <w:rsid w:val="00F63533"/>
    <w:rsid w:val="00F641C2"/>
    <w:rsid w:val="00F672B6"/>
    <w:rsid w:val="00F67398"/>
    <w:rsid w:val="00F67E97"/>
    <w:rsid w:val="00F753E8"/>
    <w:rsid w:val="00F7667C"/>
    <w:rsid w:val="00F76F41"/>
    <w:rsid w:val="00F77D6C"/>
    <w:rsid w:val="00F77E92"/>
    <w:rsid w:val="00F87A5E"/>
    <w:rsid w:val="00F964C8"/>
    <w:rsid w:val="00F96AC6"/>
    <w:rsid w:val="00FA0B1C"/>
    <w:rsid w:val="00FA1838"/>
    <w:rsid w:val="00FB01AF"/>
    <w:rsid w:val="00FB472A"/>
    <w:rsid w:val="00FB4C2D"/>
    <w:rsid w:val="00FB4E65"/>
    <w:rsid w:val="00FC0F27"/>
    <w:rsid w:val="00FC32AE"/>
    <w:rsid w:val="00FC4C15"/>
    <w:rsid w:val="00FC7EA5"/>
    <w:rsid w:val="00FD17DB"/>
    <w:rsid w:val="00FD19FD"/>
    <w:rsid w:val="00FD2396"/>
    <w:rsid w:val="00FD539A"/>
    <w:rsid w:val="00FD5738"/>
    <w:rsid w:val="00FD5C76"/>
    <w:rsid w:val="00FE0488"/>
    <w:rsid w:val="00FE1891"/>
    <w:rsid w:val="00FE1988"/>
    <w:rsid w:val="00FE2D7E"/>
    <w:rsid w:val="00FE45A4"/>
    <w:rsid w:val="00FE79B0"/>
    <w:rsid w:val="00FF21DF"/>
    <w:rsid w:val="00FF2E7E"/>
    <w:rsid w:val="030940FE"/>
    <w:rsid w:val="04171176"/>
    <w:rsid w:val="0C1E4F0E"/>
    <w:rsid w:val="0EC92C35"/>
    <w:rsid w:val="138549F6"/>
    <w:rsid w:val="14122CAA"/>
    <w:rsid w:val="19AA0205"/>
    <w:rsid w:val="1C9B677E"/>
    <w:rsid w:val="20523808"/>
    <w:rsid w:val="22994D11"/>
    <w:rsid w:val="26A61A75"/>
    <w:rsid w:val="27FE4316"/>
    <w:rsid w:val="2E381E2D"/>
    <w:rsid w:val="2FE54B53"/>
    <w:rsid w:val="35BE7BCE"/>
    <w:rsid w:val="3A78529F"/>
    <w:rsid w:val="3F097CD3"/>
    <w:rsid w:val="4D1E637D"/>
    <w:rsid w:val="4D9F72DB"/>
    <w:rsid w:val="50C6411E"/>
    <w:rsid w:val="52547492"/>
    <w:rsid w:val="595F2776"/>
    <w:rsid w:val="5CB66A35"/>
    <w:rsid w:val="5E640775"/>
    <w:rsid w:val="60533EB3"/>
    <w:rsid w:val="6C550928"/>
    <w:rsid w:val="6F31014B"/>
    <w:rsid w:val="6F3B2061"/>
    <w:rsid w:val="71685EB0"/>
    <w:rsid w:val="77176647"/>
    <w:rsid w:val="7A7A6E12"/>
    <w:rsid w:val="7BB61ECC"/>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4"/>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35"/>
    <w:semiHidden/>
    <w:unhideWhenUsed/>
    <w:qFormat/>
    <w:uiPriority w:val="9"/>
    <w:pPr>
      <w:keepNext/>
      <w:keepLines/>
      <w:spacing w:before="40" w:after="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33"/>
    <w:unhideWhenUsed/>
    <w:qFormat/>
    <w:uiPriority w:val="0"/>
    <w:pPr>
      <w:keepNext/>
      <w:keepLines/>
      <w:spacing w:before="260" w:after="260" w:line="416" w:lineRule="auto"/>
      <w:outlineLvl w:val="2"/>
    </w:pPr>
    <w:rPr>
      <w:rFonts w:eastAsiaTheme="minorHAnsi"/>
      <w:b/>
      <w:bCs/>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3"/>
    <w:unhideWhenUsed/>
    <w:qFormat/>
    <w:uiPriority w:val="99"/>
    <w:pPr>
      <w:spacing w:line="240" w:lineRule="auto"/>
    </w:pPr>
    <w:rPr>
      <w:sz w:val="20"/>
      <w:szCs w:val="20"/>
    </w:rPr>
  </w:style>
  <w:style w:type="paragraph" w:styleId="6">
    <w:name w:val="Balloon Text"/>
    <w:basedOn w:val="1"/>
    <w:link w:val="24"/>
    <w:semiHidden/>
    <w:unhideWhenUsed/>
    <w:qFormat/>
    <w:uiPriority w:val="99"/>
    <w:pPr>
      <w:spacing w:after="0" w:line="240" w:lineRule="auto"/>
    </w:pPr>
    <w:rPr>
      <w:rFonts w:ascii="Segoe UI" w:hAnsi="Segoe UI" w:cs="Segoe UI"/>
      <w:sz w:val="18"/>
      <w:szCs w:val="18"/>
    </w:rPr>
  </w:style>
  <w:style w:type="paragraph" w:styleId="7">
    <w:name w:val="footer"/>
    <w:basedOn w:val="1"/>
    <w:link w:val="21"/>
    <w:unhideWhenUsed/>
    <w:qFormat/>
    <w:uiPriority w:val="99"/>
    <w:pPr>
      <w:tabs>
        <w:tab w:val="center" w:pos="4680"/>
        <w:tab w:val="right" w:pos="9360"/>
      </w:tabs>
      <w:spacing w:after="0" w:line="240" w:lineRule="auto"/>
    </w:pPr>
  </w:style>
  <w:style w:type="paragraph" w:styleId="8">
    <w:name w:val="header"/>
    <w:basedOn w:val="1"/>
    <w:link w:val="20"/>
    <w:unhideWhenUsed/>
    <w:qFormat/>
    <w:uiPriority w:val="99"/>
    <w:pPr>
      <w:tabs>
        <w:tab w:val="center" w:pos="4680"/>
        <w:tab w:val="right" w:pos="9360"/>
      </w:tabs>
      <w:spacing w:after="0" w:line="240" w:lineRule="auto"/>
    </w:pPr>
  </w:style>
  <w:style w:type="paragraph" w:styleId="9">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10">
    <w:name w:val="annotation subject"/>
    <w:basedOn w:val="5"/>
    <w:next w:val="5"/>
    <w:link w:val="25"/>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FollowedHyperlink"/>
    <w:basedOn w:val="13"/>
    <w:semiHidden/>
    <w:unhideWhenUsed/>
    <w:qFormat/>
    <w:uiPriority w:val="99"/>
    <w:rPr>
      <w:color w:val="954F72" w:themeColor="followedHyperlink"/>
      <w:u w:val="single"/>
      <w14:textFill>
        <w14:solidFill>
          <w14:schemeClr w14:val="folHlink"/>
        </w14:solidFill>
      </w14:textFill>
    </w:rPr>
  </w:style>
  <w:style w:type="character" w:styleId="16">
    <w:name w:val="Hyperlink"/>
    <w:basedOn w:val="13"/>
    <w:unhideWhenUsed/>
    <w:qFormat/>
    <w:uiPriority w:val="99"/>
    <w:rPr>
      <w:color w:val="5291A8"/>
      <w:u w:val="single"/>
    </w:rPr>
  </w:style>
  <w:style w:type="character" w:styleId="17">
    <w:name w:val="annotation reference"/>
    <w:basedOn w:val="13"/>
    <w:semiHidden/>
    <w:unhideWhenUsed/>
    <w:qFormat/>
    <w:uiPriority w:val="99"/>
    <w:rPr>
      <w:sz w:val="16"/>
      <w:szCs w:val="16"/>
    </w:rPr>
  </w:style>
  <w:style w:type="paragraph" w:customStyle="1" w:styleId="18">
    <w:name w:val="Intro copy"/>
    <w:qFormat/>
    <w:uiPriority w:val="0"/>
    <w:pPr>
      <w:keepNext/>
      <w:spacing w:after="120" w:line="259" w:lineRule="auto"/>
    </w:pPr>
    <w:rPr>
      <w:rFonts w:ascii="Times New Roman" w:hAnsi="Times New Roman" w:eastAsia="Times New Roman" w:cs="Times New Roman"/>
      <w:i/>
      <w:iCs/>
      <w:color w:val="333F50" w:themeColor="text2" w:themeShade="BF"/>
      <w:lang w:val="en-US" w:eastAsia="en-US" w:bidi="ar-SA"/>
    </w:rPr>
  </w:style>
  <w:style w:type="paragraph" w:styleId="19">
    <w:name w:val="List Paragraph"/>
    <w:basedOn w:val="1"/>
    <w:qFormat/>
    <w:uiPriority w:val="0"/>
    <w:pPr>
      <w:ind w:left="720"/>
      <w:contextualSpacing/>
    </w:pPr>
  </w:style>
  <w:style w:type="character" w:customStyle="1" w:styleId="20">
    <w:name w:val="Header Char"/>
    <w:basedOn w:val="13"/>
    <w:link w:val="8"/>
    <w:qFormat/>
    <w:uiPriority w:val="99"/>
  </w:style>
  <w:style w:type="character" w:customStyle="1" w:styleId="21">
    <w:name w:val="Footer Char"/>
    <w:basedOn w:val="13"/>
    <w:link w:val="7"/>
    <w:qFormat/>
    <w:uiPriority w:val="99"/>
  </w:style>
  <w:style w:type="table" w:customStyle="1" w:styleId="22">
    <w:name w:val="Table Grid2"/>
    <w:basedOn w:val="11"/>
    <w:qFormat/>
    <w:uiPriority w:val="59"/>
    <w:rPr>
      <w:rFonts w:ascii="Arial" w:hAnsi="Arial" w:eastAsia="Calibri"/>
    </w:rPr>
    <w:tblPr>
      <w:tblCellMar>
        <w:left w:w="0" w:type="dxa"/>
        <w:right w:w="0" w:type="dxa"/>
      </w:tblCellMar>
    </w:tblPr>
    <w:trPr>
      <w:cantSplit/>
    </w:trPr>
  </w:style>
  <w:style w:type="character" w:customStyle="1" w:styleId="23">
    <w:name w:val="Comment Text Char"/>
    <w:basedOn w:val="13"/>
    <w:link w:val="5"/>
    <w:qFormat/>
    <w:uiPriority w:val="99"/>
    <w:rPr>
      <w:sz w:val="20"/>
      <w:szCs w:val="20"/>
    </w:rPr>
  </w:style>
  <w:style w:type="character" w:customStyle="1" w:styleId="24">
    <w:name w:val="Balloon Text Char"/>
    <w:basedOn w:val="13"/>
    <w:link w:val="6"/>
    <w:semiHidden/>
    <w:qFormat/>
    <w:uiPriority w:val="99"/>
    <w:rPr>
      <w:rFonts w:ascii="Segoe UI" w:hAnsi="Segoe UI" w:cs="Segoe UI"/>
      <w:sz w:val="18"/>
      <w:szCs w:val="18"/>
    </w:rPr>
  </w:style>
  <w:style w:type="character" w:customStyle="1" w:styleId="25">
    <w:name w:val="Comment Subject Char"/>
    <w:basedOn w:val="23"/>
    <w:link w:val="10"/>
    <w:semiHidden/>
    <w:qFormat/>
    <w:uiPriority w:val="99"/>
    <w:rPr>
      <w:b/>
      <w:bCs/>
      <w:sz w:val="20"/>
      <w:szCs w:val="20"/>
    </w:rPr>
  </w:style>
  <w:style w:type="paragraph" w:customStyle="1" w:styleId="26">
    <w:name w:val="paragraph"/>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27">
    <w:name w:val="normaltextrun"/>
    <w:basedOn w:val="13"/>
    <w:qFormat/>
    <w:uiPriority w:val="0"/>
  </w:style>
  <w:style w:type="character" w:customStyle="1" w:styleId="28">
    <w:name w:val="eop"/>
    <w:basedOn w:val="13"/>
    <w:qFormat/>
    <w:uiPriority w:val="0"/>
  </w:style>
  <w:style w:type="character" w:customStyle="1" w:styleId="29">
    <w:name w:val="advancedproofingissue"/>
    <w:basedOn w:val="13"/>
    <w:qFormat/>
    <w:uiPriority w:val="0"/>
  </w:style>
  <w:style w:type="character" w:customStyle="1" w:styleId="30">
    <w:name w:val="scxw122036501"/>
    <w:basedOn w:val="13"/>
    <w:qFormat/>
    <w:uiPriority w:val="0"/>
  </w:style>
  <w:style w:type="character" w:customStyle="1" w:styleId="31">
    <w:name w:val="Unresolved Mention1"/>
    <w:basedOn w:val="13"/>
    <w:semiHidden/>
    <w:unhideWhenUsed/>
    <w:qFormat/>
    <w:uiPriority w:val="99"/>
    <w:rPr>
      <w:color w:val="605E5C"/>
      <w:shd w:val="clear" w:color="auto" w:fill="E1DFDD"/>
    </w:rPr>
  </w:style>
  <w:style w:type="character" w:customStyle="1" w:styleId="32">
    <w:name w:val="link1"/>
    <w:basedOn w:val="13"/>
    <w:qFormat/>
    <w:uiPriority w:val="0"/>
    <w:rPr>
      <w:rFonts w:hint="default" w:ascii="Arial" w:hAnsi="Arial" w:cs="Arial"/>
      <w:color w:val="004985"/>
      <w:sz w:val="18"/>
      <w:szCs w:val="18"/>
      <w:u w:val="none"/>
    </w:rPr>
  </w:style>
  <w:style w:type="character" w:customStyle="1" w:styleId="33">
    <w:name w:val="Heading 3 Char"/>
    <w:basedOn w:val="13"/>
    <w:link w:val="4"/>
    <w:qFormat/>
    <w:uiPriority w:val="0"/>
    <w:rPr>
      <w:rFonts w:asciiTheme="minorHAnsi" w:hAnsiTheme="minorHAnsi" w:eastAsiaTheme="minorHAnsi" w:cstheme="minorBidi"/>
      <w:b/>
      <w:bCs/>
      <w:sz w:val="32"/>
      <w:szCs w:val="22"/>
      <w:lang w:eastAsia="en-US"/>
    </w:rPr>
  </w:style>
  <w:style w:type="character" w:customStyle="1" w:styleId="34">
    <w:name w:val="Heading 1 Char"/>
    <w:basedOn w:val="13"/>
    <w:link w:val="2"/>
    <w:qFormat/>
    <w:uiPriority w:val="9"/>
    <w:rPr>
      <w:rFonts w:asciiTheme="majorHAnsi" w:hAnsiTheme="majorHAnsi" w:eastAsiaTheme="majorEastAsia" w:cstheme="majorBidi"/>
      <w:color w:val="2F5597" w:themeColor="accent1" w:themeShade="BF"/>
      <w:sz w:val="32"/>
      <w:szCs w:val="32"/>
      <w:lang w:eastAsia="en-US"/>
    </w:rPr>
  </w:style>
  <w:style w:type="character" w:customStyle="1" w:styleId="35">
    <w:name w:val="Heading 2 Char"/>
    <w:basedOn w:val="13"/>
    <w:link w:val="3"/>
    <w:semiHidden/>
    <w:qFormat/>
    <w:uiPriority w:val="9"/>
    <w:rPr>
      <w:rFonts w:asciiTheme="majorHAnsi" w:hAnsiTheme="majorHAnsi" w:eastAsiaTheme="majorEastAsia" w:cstheme="majorBidi"/>
      <w:color w:val="2F5597" w:themeColor="accent1" w:themeShade="BF"/>
      <w:sz w:val="26"/>
      <w:szCs w:val="26"/>
      <w:lang w:eastAsia="en-US"/>
    </w:rPr>
  </w:style>
  <w:style w:type="paragraph" w:customStyle="1" w:styleId="36">
    <w:name w:val="box"/>
    <w:basedOn w:val="1"/>
    <w:qFormat/>
    <w:uiPriority w:val="0"/>
    <w:pPr>
      <w:spacing w:after="120" w:line="240" w:lineRule="auto"/>
      <w:jc w:val="both"/>
    </w:pPr>
    <w:rPr>
      <w:rFonts w:ascii="Arial" w:hAnsi="Arial" w:eastAsia="Times New Roman" w:cs="Times New Roman"/>
      <w:szCs w:val="24"/>
      <w:lang w:val="en-GB"/>
    </w:rPr>
  </w:style>
  <w:style w:type="paragraph" w:customStyle="1" w:styleId="37">
    <w:name w:val="Table - Field Label"/>
    <w:basedOn w:val="1"/>
    <w:qFormat/>
    <w:uiPriority w:val="0"/>
    <w:pPr>
      <w:widowControl w:val="0"/>
      <w:spacing w:before="120" w:after="120" w:line="240" w:lineRule="auto"/>
    </w:pPr>
    <w:rPr>
      <w:rFonts w:ascii="Calibri" w:hAnsi="Calibri" w:eastAsia="Arial" w:cs="Times New Roman"/>
      <w:b/>
      <w:bCs/>
      <w:sz w:val="16"/>
      <w:szCs w:val="18"/>
    </w:rPr>
  </w:style>
  <w:style w:type="paragraph" w:customStyle="1" w:styleId="38">
    <w:name w:val="Table - Field Data"/>
    <w:basedOn w:val="1"/>
    <w:qFormat/>
    <w:uiPriority w:val="0"/>
    <w:pPr>
      <w:widowControl w:val="0"/>
      <w:spacing w:after="120" w:line="240" w:lineRule="auto"/>
    </w:pPr>
    <w:rPr>
      <w:rFonts w:ascii="Calibri" w:hAnsi="Calibri" w:eastAsia="Arial" w:cs="Times New Roman"/>
      <w:color w:val="181717" w:themeColor="background2" w:themeShade="1A"/>
      <w:sz w:val="16"/>
      <w:szCs w:val="15"/>
    </w:rPr>
  </w:style>
  <w:style w:type="paragraph" w:customStyle="1" w:styleId="39">
    <w:name w:val="Question"/>
    <w:basedOn w:val="1"/>
    <w:qFormat/>
    <w:uiPriority w:val="0"/>
    <w:pPr>
      <w:widowControl w:val="0"/>
      <w:numPr>
        <w:ilvl w:val="0"/>
        <w:numId w:val="1"/>
      </w:numPr>
      <w:spacing w:after="120" w:line="240" w:lineRule="auto"/>
    </w:pPr>
    <w:rPr>
      <w:rFonts w:eastAsia="Arial" w:cs="Times New Roman"/>
      <w:sz w:val="18"/>
      <w:szCs w:val="20"/>
    </w:rPr>
  </w:style>
  <w:style w:type="paragraph" w:customStyle="1" w:styleId="40">
    <w:name w:val="Questions/Answer - Indented"/>
    <w:basedOn w:val="39"/>
    <w:qFormat/>
    <w:uiPriority w:val="0"/>
    <w:pPr>
      <w:numPr>
        <w:numId w:val="0"/>
      </w:numPr>
      <w:ind w:left="360"/>
    </w:pPr>
  </w:style>
  <w:style w:type="table" w:customStyle="1" w:styleId="41">
    <w:name w:val="Table - Gates"/>
    <w:basedOn w:val="11"/>
    <w:qFormat/>
    <w:uiPriority w:val="99"/>
    <w:rPr>
      <w:rFonts w:asciiTheme="minorHAnsi" w:hAnsiTheme="minorHAnsi" w:cstheme="minorBidi"/>
      <w:color w:val="181717" w:themeColor="background2" w:themeShade="1A"/>
      <w:sz w:val="18"/>
      <w:szCs w:val="22"/>
      <w:lang w:eastAsia="en-US"/>
    </w:rPr>
    <w:tblPr>
      <w:tblBorders>
        <w:top w:val="single" w:color="D6DCE4" w:themeColor="text2" w:themeTint="33" w:sz="8" w:space="0"/>
        <w:left w:val="single" w:color="D6DCE4" w:themeColor="text2" w:themeTint="33" w:sz="8" w:space="0"/>
        <w:bottom w:val="single" w:color="D6DCE4" w:themeColor="text2" w:themeTint="33" w:sz="8" w:space="0"/>
        <w:right w:val="single" w:color="D6DCE4" w:themeColor="text2" w:themeTint="33" w:sz="8" w:space="0"/>
        <w:insideH w:val="single" w:color="D6DCE4" w:themeColor="text2" w:themeTint="33" w:sz="8" w:space="0"/>
        <w:insideV w:val="single" w:color="D6DCE4" w:themeColor="text2" w:themeTint="33" w:sz="8" w:space="0"/>
      </w:tblBorders>
      <w:tblCellMar>
        <w:top w:w="58" w:type="dxa"/>
        <w:bottom w:w="58" w:type="dxa"/>
      </w:tblCellMar>
    </w:tblPr>
    <w:tcPr>
      <w:shd w:val="clear" w:color="auto" w:fill="auto"/>
      <w:vAlign w:val="center"/>
    </w:tcPr>
    <w:tblStylePr w:type="firstRow">
      <w:rPr>
        <w:rFonts w:ascii="Arial,Times New Roman" w:hAnsi="Arial,Times New Roman"/>
        <w:b w:val="0"/>
        <w:i w:val="0"/>
      </w:rPr>
      <w:tcPr>
        <w:shd w:val="clear" w:color="auto" w:fill="F1F1F1" w:themeFill="background1" w:themeFillShade="F2"/>
      </w:tcPr>
    </w:tblStylePr>
    <w:tblStylePr w:type="firstCol">
      <w:tcPr>
        <w:shd w:val="clear" w:color="auto" w:fill="F1F1F1" w:themeFill="background1" w:themeFillShade="F2"/>
      </w:tcPr>
    </w:tblStylePr>
  </w:style>
  <w:style w:type="character" w:customStyle="1" w:styleId="42">
    <w:name w:val="Unresolved Mention"/>
    <w:basedOn w:val="13"/>
    <w:semiHidden/>
    <w:unhideWhenUsed/>
    <w:qFormat/>
    <w:uiPriority w:val="99"/>
    <w:rPr>
      <w:color w:val="605E5C"/>
      <w:shd w:val="clear" w:color="auto" w:fill="E1DFDD"/>
    </w:rPr>
  </w:style>
  <w:style w:type="character" w:customStyle="1" w:styleId="43">
    <w:name w:val="Mention"/>
    <w:basedOn w:val="13"/>
    <w:unhideWhenUsed/>
    <w:qFormat/>
    <w:uiPriority w:val="99"/>
    <w:rPr>
      <w:color w:val="2B579A"/>
      <w:shd w:val="clear" w:color="auto" w:fill="E1DFDD"/>
    </w:rPr>
  </w:style>
  <w:style w:type="paragraph" w:customStyle="1" w:styleId="44">
    <w:name w:val="Revision"/>
    <w:hidden/>
    <w:semiHidden/>
    <w:qFormat/>
    <w:uiPriority w:val="99"/>
    <w:rPr>
      <w:rFonts w:asciiTheme="minorHAnsi" w:hAnsiTheme="minorHAnsi" w:eastAsiaTheme="minorEastAsia"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6.xml"/><Relationship Id="rId17" Type="http://schemas.openxmlformats.org/officeDocument/2006/relationships/customXml" Target="../customXml/item5.xml"/><Relationship Id="rId16" Type="http://schemas.openxmlformats.org/officeDocument/2006/relationships/customXml" Target="../customXml/item4.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ermSyncData/>
</file>

<file path=customXml/item3.xml><?xml version="1.0" encoding="utf-8"?>
<TemplateFieldData displayName="" displayValue="">
  <Investment_Details displayName="Investment Details" displayValue="Investment Details">
    <Agreement_Type>Project Support</Agreement_Type>
    <Authorized_External_Signer/>
    <Forecasted_Approval_Date>05/07/20</Forecasted_Approval_Date>
    <Forecasted_Approval_Date_unformatted>2020-05-07T00:00:00.0000000</Forecasted_Approval_Date_unformatted>
    <Grantee_or_Vendor>Shanghai Science and Technology Exchange Center</Grantee_or_Vendor>
    <Account_Fiscal_Year/>
    <Account_Legal_Name/>
    <Account_Tax_Status/>
    <Account_Website/>
    <Investment_Coordinator_Full_Name>Ying Wang</Investment_Coordinator_Full_Name>
    <Investment_Name>COVID-19: Co-fund with NSFC research program--Epidemology</Investment_Name>
    <Investment_Owner_Full_Name>Bo Sun</Investment_Owner_Full_Name>
    <Investment_Owner_Title>Senior Program Officer, R&amp;D Advocacy</Investment_Owner_Title>
    <INV_Subtype>Project Support</INV_Subtype>
    <Investment_End_Date>06/01/22</Investment_End_Date>
    <Investment_End_Date_unformatted>2022-06-01T00:00:00.0000000</Investment_End_Date_unformatted>
    <Investment_Start_Date>06/01/20</Investment_Start_Date>
    <Investment_Start_Date_unformatted>2020-06-01T00:00:00.0000000</Investment_Start_Date_unformatted>
    <Parent_INV_Subtype/>
    <Salesforce_Record_Type>Investment</Salesforce_Record_Type>
    <Salesforce_Investment_ID>INV-006371</Salesforce_Investment_ID>
    <Secondary_Investment_Owner>Anna DU</Secondary_Investment_Owner>
    <Secondary_Investment_Owner_Title>Senior Program Officer, Health, Innovation and Partnerships</Secondary_Investment_Owner_Title>
    <INV_Type_WF_field_only>Grant</INV_Type_WF_field_only>
    <INV_ID_WF_field_only>INV-006371</INV_ID_WF_field_only>
  </Investment_Details>
  <Amendment_Details displayName="Amendment Details" displayValue="Amendment Details">
    <Amendment_ID>AMD--0</Amendment_ID>
    <Amendment_Overview_and_Rationale/>
    <AMD_Geography_Served_Container displayName="AMD Geography Served" displayValue="AMD Geography Served">
      <AMD_Geography_Served_Id>a2j1R0000013CAmQAM</AMD_Geography_Served_Id>
      <AMD_Geography_Served displayName="" displayValue="">
        <AMD_Location_Path>World</AMD_Location_Path>
        <AMD_Location_Name>World</AMD_Location_Name>
        <AMD_Geo_Amount>450,000.00</AMD_Geo_Amount>
        <AMD_Geo_Change>450,000.00</AMD_Geo_Change>
      </AMD_Geography_Served>
      <AMD_Geography_Served displayName="" displayValue="">
        <AMD_Location_Path>World\ASIA\FAR EAST ASIA\China</AMD_Location_Path>
        <AMD_Location_Name>China</AMD_Location_Name>
        <AMD_Geo_Amount>450,000.00</AMD_Geo_Amount>
        <AMD_Geo_Change>450,000.00</AMD_Geo_Change>
      </AMD_Geography_Served>
    </AMD_Geography_Served_Container>
    <AMD_Location_of_Work_Container displayName="AMD Location of Work" displayValue="AMD Location of Work">
      <AMD_Location_of_Work_Id>a2j1R0000013CAmQAM</AMD_Location_of_Work_Id>
      <AMD_Location_of_Work displayName="" displayValue="">
        <AMD_LOW_Path>World\ASIA\FAR EAST ASIA\China</AMD_LOW_Path>
        <AMD_LOW_Name>China</AMD_LOW_Name>
        <AMD_LOW_Amount>$900,000.00</AMD_LOW_Amount>
        <AMD_LOW_Change>$900,000.00</AMD_LOW_Change>
      </AMD_Location_of_Work>
    </AMD_Location_of_Work_Container>
  </Amendment_Details>
  <Internal_Record_Fields_Grants_and_Contracts displayName="Internal Record Fields Grants and Contracts" displayValue="Internal Record Fields Grants and Contracts">
    <Analysis_and_Recommendation/>
    <Approvers_Container displayName="Approvers" displayValue="Approvers">
      <Approvers_Id>a2j1R0000013CAmQAM</Approvers_Id>
    </Approvers_Container>
    <Estimated_Location_of_Work_Container displayName="Estimated Location of Work" displayValue="Estimated Location of Work">
      <Estimated_Location_of_Work_Id>a2j1R0000013CAmQAM</Estimated_Location_of_Work_Id>
      <Estimated_Location_of_Work displayName="" displayValue="">
        <Location_Path>World\ASIA\FAR EAST ASIA\China</Location_Path>
        <Location_Name>China</Location_Name>
        <Allocation_USD>900,000.00</Allocation_USD>
        <Allocation_Percent>100.00</Allocation_Percent>
      </Estimated_Location_of_Work>
    </Estimated_Location_of_Work_Container>
    <External_Contacts_Container displayName="External Contacts" displayValue="External Contacts">
      <External_Contacts_Id>a2j1R0000013CAmQAM</External_Contacts_Id>
    </External_Contacts_Container>
    <Geography_Served_Container displayName="Geography Served" displayValue="Geography Served">
      <Geography_Served_Id>a2j1R0000013CAmQAM</Geography_Served_Id>
      <Geography_Served displayName="" displayValue="">
        <Geography_Served_Location_Path>World</Geography_Served_Location_Path>
        <Geography_Served_Location_Name>World</Geography_Served_Location_Name>
        <Allocation_USD>450,000.00</Allocation_USD>
        <Allocation_Percent>50.00</Allocation_Percent>
      </Geography_Served>
      <Geography_Served displayName="" displayValue="">
        <Geography_Served_Location_Path>World\ASIA\FAR EAST ASIA\China</Geography_Served_Location_Path>
        <Geography_Served_Location_Name>China</Geography_Served_Location_Name>
        <Allocation_USD>450,000.00</Allocation_USD>
        <Allocation_Percent>50.00</Allocation_Percent>
      </Geography_Served>
    </Geography_Served_Container>
    <Investment_Amount>900,000.00</Investment_Amount>
    <Investment_Amount_unformatted>900000.00</Investment_Amount_unformatted>
    <Investment_Status>In Process</Investment_Status>
    <Investment_Type>Grant</Investment_Type>
    <Managing_Team>China Policy Advocacy &amp; Government Relations</Managing_Team>
    <Investment_Topics_Container displayName="Investment Topics" displayValue="Investment Topics">
      <Investment_Topics_Id>a2j1R0000013CAmQAM</Investment_Topics_Id>
      <Investment_Topics displayName="" displayValue="">
        <Investment_Topics_Full_Path>COVID-19 Response?\Strategic Pillars\Accelerate detection and?suppression</Investment_Topics_Full_Path>
      </Investment_Topics>
      <Investment_Topics displayName="" displayValue="">
        <Investment_Topics_Full_Path>COVID-19 Response?\COVID-19 Phase 1\China engagement</Investment_Topics_Full_Path>
      </Investment_Topics>
    </Investment_Topics_Container>
    <Primary_Contact_Full_Name>Yuanyuan Zhou</Primary_Contact_Full_Name>
    <Related_Orgs_Vendors_Container displayName="Related Orgs Vendors" displayValue="Related Orgs Vendors">
      <Related_Orgs_Vendors_Id>a2j1R0000013CAmQAM</Related_Orgs_Vendors_Id>
    </Related_Orgs_Vendors_Container>
    <Reviewers_Container displayName="Reviewers" displayValue="Reviewers">
      <Reviewers_Id>a2j1R0000013CAmQAM</Reviewers_Id>
      <Reviewers displayName="" displayValue="">
        <Reviewer_Name>GCS User</Reviewer_Name>
        <Subtype>GCS Review</Subtype>
        <Reviewer_Status>Not Requested</Reviewer_Status>
        <Reviewer_Feedback/>
      </Reviewers>
    </Reviewers_Container>
    <Strategy_Container displayName="Strategy" displayValue="Strategy">
      <Strategy_Id>a2j1R0000013CAmQAM</Strategy_Id>
      <Strategy displayName="" displayValue="">
        <Strategy_Path>Global Policy and Advocacy &gt; China Office &gt; China Health &gt; China COVID-19 &gt; Combat COVID-19 for China and for the World</Strategy_Path>
        <Strategy_Allocation_Amount>900,000.00</Strategy_Allocation_Amount>
        <Strategy_Allocation_Percent>100.00</Strategy_Allocation_Percent>
      </Strategy>
    </Strategy_Container>
    <Supporting_Team/>
    <Tasks_Container displayName="Tasks" displayValue="Tasks">
      <Tasks_Id>a2j1R0000013CAmQAM</Tasks_Id>
      <Tasks displayName="" displayValue="">
        <Assigned_To>GCS User</Assigned_To>
        <Subject>Initial Org Due Diligence (SSTEC)</Subject>
        <Priority>Normal</Priority>
        <Due_Date>05/11/2020</Due_Date>
        <Due_Date_unformatted>2020-05-11T00:00:00.0000000</Due_Date_unformatted>
        <Status>Not Started</Status>
      </Tasks>
    </Tasks_Container>
  </Internal_Record_Fields_Grants_and_Contracts>
  <Internal_Grant_Fields displayName="Internal Grant Fields" displayValue="Internal Grant Fields">
    <Deliverable_and_Payments_Container displayName="Deliverable and Payments" displayValue="Deliverable and Payments">
      <Deliverable_and_Payments_Id>a2j1R0000013CAmQAM</Deliverable_and_Payments_Id>
      <Deliverable_and_Payments displayName="" displayValue="">
        <Deliverable>Countersigned Agreement</Deliverable>
        <Due_Date>06/01/2020</Due_Date>
        <Due_Date_unformatted>2020-06-01T00:00:00.0000000</Due_Date_unformatted>
        <Payment_Number>PYMT-019589</Payment_Number>
        <Payment_Date>06/01/2020</Payment_Date>
        <Payment_Date_unformatted>2020-06-01T00:00:00.0000000</Payment_Date_unformatted>
        <Payment_Amount>900,000.00</Payment_Amount>
      </Deliverable_and_Payments>
      <Deliverable_and_Payments displayName="" displayValue="">
        <Deliverable>Progress Report</Deliverable>
        <Due_Date>03/01/2021</Due_Date>
        <Due_Date_unformatted>2021-03-01T00:00:00.0000000</Due_Date_unformatted>
        <Payment_Number/>
        <Payment_Date/>
        <Payment_Date_unformatted/>
        <Payment_Amount/>
      </Deliverable_and_Payments>
    </Deliverable_and_Payments_Container>
    <Final_Report_Details_Container displayName="Final Report Details" displayValue="Final Report Details">
      <Final_Report_Details_Id>a2j1R0000013CAmQAM</Final_Report_Details_Id>
      <Final_Report_Details displayName="" displayValue="">
        <Final_Report_Name>Final Report</Final_Report_Name>
        <Final_Report_Due_Date>06/01/2022</Final_Report_Due_Date>
        <Final_Report_Due_Date_unformatted>2022-06-01T00:00:00.0000000</Final_Report_Due_Date_unformatted>
        <Final_Report_Pay_Number/>
        <Final_Report_Pay_Date/>
        <Final_Report_Pay_Date_unformatted/>
        <Final_Report_Amount/>
      </Final_Report_Details>
    </Final_Report_Details_Container>
    <Cost_Center_Container displayName="Cost Center" displayValue="Cost Center">
      <Cost_Center_Id>a2j1R0000013CAmQAM</Cost_Center_Id>
      <Cost_Center displayName="" displayValue="">
        <Cost_Center_Path>50421 China Office</Cost_Center_Path>
        <CC_Allocation_Amount>900,000.00</CC_Allocation_Amount>
        <CC_Percent>100.00</CC_Percent>
      </Cost_Center>
    </Cost_Center_Container>
  </Internal_Grant_Fields>
  <Active_INV_Payment_Details displayName="Active INV Payment Details" displayValue="Active INV Payment Details">
    <Cost_Center_Active_INV_Container displayName="Cost Center Active INV" displayValue="Cost Center Active INV">
      <Cost_Center_Active_INV_Id>a2j1R0000013CAmQAM</Cost_Center_Active_INV_Id>
    </Cost_Center_Active_INV_Container>
  </Active_INV_Payment_Details>
  <Investment_Description displayName="Investment Description" displayValue="Investment Description">
    <Project_Overview><![CDATA[<html><head><meta charset='UTF-8'></head><body><p><span style="font-size: 10pt; font-family: Arial, sans-serif;">The project is an emergency grant to leverage China?s National Natural Science Foundation?s (NSFC) investment to jointly fight against the COVID-19 in the foundation?s Wave 1 COVID-19 emergency response under the CCO?s core budget. NSFC has provided 1 million USD co-funding to the Chinese grantees of this grant. This grant is the first BMGF-NSFC joint project since Bill renewed the BMGF-NSFC MOU in Nov 2019, aiming to engage China in GH and to leverage more resources from Chinese government funding agencies. The five projects were recommended by NSFC during the COVID-19 outbreak with a nationwide solicitation and selection. Based on this project, CCO aims to kick off more joint efforts to leverage NSFC?s investments into the BMGF prioritized research areas.</span></p><p><br></p><p><span style="font-size: 10pt; font-family: Arial, sans-serif;">The project will have 5 sub-grants to research teams at </span><b style="font-size: 10pt; font-family: Arial, sans-serif;">Chinese Academy of Medical Sciences</b><span style="font-size: 10pt; font-family: Arial, sans-serif;">, </span><b style="font-size: 10pt; font-family: Arial, sans-serif;">Nanjing Medical University</b><span style="font-size: 10pt; font-family: Arial, sans-serif;">, </span><b style="font-size: 10pt; font-family: Arial, sans-serif;">Sun Yat-sen University</b><span style="font-size: 10pt; font-family: Arial, sans-serif;">, </span><b style="font-size: 10pt; font-family: Arial, sans-serif;">Peking University</b><span style="font-size: 10pt; font-family: Arial, sans-serif;"> and </span><b style="font-size: 10pt; font-family: Arial, sans-serif;">Huashan Hospital</b><span style="font-size: 10pt; font-family: Arial, sans-serif;"> in Shanghai.?As a professional service unit for the management of science research projects of the Science and Technology Commission of Shanghai Municipality, Shanghai Science and Technology Exchange Center (SSTEC) will conduct the project by assigning them to these 5 top level COVID-19 research teams, and manage them with each research team by full time experts. The research project includes the following five COVID-19 research subjects:</span></p><p><span style="font-size: 10pt; font-family: Arial, sans-serif;">?</span></p><p><span style="font-size: 10pt; font-family: Arial, sans-serif;">1.</span><span style="font-size: 7pt;">????</span><b style="font-size: 10pt; font-family: Arial, sans-serif;">The study of potential genetic mechanism of differential susceptibility to novel coronavirus through using the Genetic Diversity Mice (Principle Investigator: QIN Chuan, Chinese Academy of Medical Sciences)?</b></p><p><span style="font-size: 10pt; font-family: Arial, sans-serif;">?</span></p><p><span style="font-size: 10pt; font-family: Arial, sans-serif;">This work will mainly focus on the COVID-19 study of potential genetic mechanism of differential susceptibility to novel coronavirus through using the Genetic Diversity Mice. Clinical data suggested that the susceptibility of patients to COVID-19 exhibited age and gender predisposition. Moreover, the patient showed different symptoms after COVID-19 infection, including respiratory symptoms, gastrointestinal symptoms, nucleic acid positive without obvious symptoms or other pathological manifestations. In order to further elucidate the genetic mechanisms responsible for such differences, the research team intends to use the Genetic Diversity Mice, which supposed to reflect population Genetic Diversity and individual differences, to explore the potential genetic mechanism of COVID-19 susceptibility difference.?</span></p><p><span style="font-size: 10pt; font-family: Arial, sans-serif;">?</span></p><p><u style="font-size: 10pt; font-family: Arial, sans-serif;">The 2-year goals include the following</u><span style="font-size: 10pt; font-family: Arial, sans-serif;">:</span></p><p><span style="font-size: 10pt; font-family: Symbol;">?</span><span style="font-size: 7pt;">??????</span><span style="font-size: 10pt; font-family: Arial, sans-serif;">Taking the advantage of mouse gene recombination, the breeding of Genetic Diversity Mouse resources which founded by multi-parental?strains will be enlarged.</span></p><p><span style="font-size: 10pt; font-family: Symbol;">?</span><span style="font-size: 7pt;">??????</span><span style="font-size: 10pt; font-family: Arial, sans-serif;">Optimal infection condition will be established, including virus preparation, virus challenges (Dose, delivery, and age).</span></p><p><span style="font-size: 10pt; font-family: Symbol;">?</span><span style="font-size: 7pt;">??????</span><span style="font-size: 10pt; font-family: Arial, sans-serif;">By comparing the phenotypic differences of different strains of mice (both gender) to 2019-nCoV infection, the phenotypic and genotypic correlation will be analyzed, and the candidate genes related to 2019-nCoV susceptibility will be obtained.?</span></p><p><span style="font-size: 10pt; font-family: Symbol;">?</span><span style="font-size: 7pt;">??????</span><span style="font-size: 10pt; font-family: Arial, sans-serif;">In vitro and in vivo experiment will be carried out to illustrate the function of potential candidate genes by knocking down or over expressing target genes.</span></p><p><span style="font-size: 10pt; font-family: Symbol;">?</span><span style="font-size: 7pt;">??????</span><span style="font-size: 10pt; font-family: Arial, sans-serif;">Through the comparative medical study of mouse and human patients, we will verify whether the potential susceptibility genes are the main reasons for the susceptibility to 2019-nCoV and phenotypic differences after infection.</span></p><p><span style="font-size: 10pt; font-family: Symbol;">?</span><span style="font-size: 7pt;">??????</span><span style="font-size: 10pt; font-family: Arial, sans-serif;">Finally, the funding will mainly be used for the breeding costs of mice breeding, P3 laboratory operation, as well as virus culture and amplification, virological detection, biochemical detection, pathological detection, immune molecular testing, RNA-sequence (if necessary) analysis, as well as labor costs.</span></p><p><span style="font-size: 10pt; font-family: Arial, sans-serif;">?</span></p><p><u style="font-size: 10pt; font-family: Arial, sans-serif;">Primary Outcomes of the research</u><span style="font-size: 10pt; font-family: Arial, sans-serif;">:</span></p><p><span style="font-size: 10pt; font-family: Symbol;">?</span><span style="font-size: 7pt;">??????</span><span style="font-size: 10pt; font-family: Arial, sans-serif;">Obtaining the candidate genes related to the susceptibility of COVID19 infection by phenotypic and genotypic correlation analysis.</span></p><p><span style="font-size: 10pt; font-family: Symbol;">?</span><span style="font-size: 7pt;">??????</span><span style="font-size: 10pt; font-family: Arial, sans-serif;">Illustrating the potential function of candidate genes by in vitro and in vivo experiment.</span></p><p><span style="font-size: 10pt; font-family: Symbol;">?</span><span style="font-size: 7pt;">??????</span><span style="font-size: 10pt; font-family: Arial, sans-serif;">Verifying the candidate genes are the main reason for COVID19 susceptibility among human patients.</span></p><p><span style="font-size: 10pt; font-family: Symbol;">?</span><span style="font-size: 7pt;">??????</span><span style="font-size: 10pt; font-family: Arial, sans-serif;">Collecting the conclusion report of the former three research outcomes.?</span></p><p><span style="font-size: 10pt; font-family: Arial, sans-serif;">?</span></p><p><u style="font-size: 10pt; font-family: Arial, sans-serif;">Project Approach</u></p><p><span style="font-size: 10pt; font-family: Symbol;">?</span><span style="font-size: 7pt;">??????</span><span style="font-size: 10pt; font-family: Arial, sans-serif;">Isolation and amplification of coronavirus 2019-nCoV by animal passage.</span></p><p><span style="font-size: 10pt; font-family: Symbol;">?</span><span style="font-size: 7pt;">??????</span><span style="font-size: 10pt; font-family: Arial, sans-serif;">Enlarging breeding of the Genetic Diversity mice.</span></p><p><span style="font-size: 10pt; font-family: Symbol;">?</span><span style="font-size: 7pt;">??????</span><span style="font-size: 10pt; font-family: Arial, sans-serif;">Pre-experiment: establishment of the optimal experimental conditions for COVID19 infection in Genetic Diversity mice.</span></p><p><span style="font-size: 10pt; font-family: Symbol;">?</span><span style="font-size: 7pt;">??????</span><span style="font-size: 10pt; font-family: Arial, sans-serif;">Phenotypic date collection of Genetic Diversity mice after COVID19 infection.</span></p><p><span style="font-size: 10pt; font-family: Symbol;">?</span><span style="font-size: 7pt;">??????</span><span style="font-size: 10pt; font-family: Arial, sans-serif;">Phenotypic and genotypic correlation analysis, and screening the potential susceptible genes.</span></p><p><span style="font-size: 10pt; font-family: Symbol;">?</span><span style="font-size: 7pt;">??????</span><span style="font-size: 10pt; font-family: Arial, sans-serif;">Verifying the gene function by over expressing or knocking down target genes.</span></p><p><span style="font-size: 10pt; font-family: Symbol;">?</span><span style="font-size: 7pt;">??????</span><span style="font-size: 10pt; font-family: Arial, sans-serif;">Comparative medicine between Genetic Diversity mice and human patients.</span></p><p><span style="font-size: 10pt; font-family: Arial, sans-serif;">?</span></p><p><u style="font-size: 10pt; font-family: Arial, sans-serif;">Potential Risk or Challenges</u></p><p><span style="font-size: 10pt; font-family: Symbol;">?</span><span style="font-size: 7pt;">??????</span><span style="font-size: 10pt; font-family: Arial, sans-serif;">Biosafety: The project has completed 30 copies of risk assessment and standard operating procedures for suspected highly pathogenic viruses causing diseases of unknown causes. There are ABSL-3 and ABSL-2 laboratories can provide the biosafety guarantee of the experiment. The IACUC application has been submitted and approved before the start of the project, approval number QC20003.</span></p><p><span style="font-size: 10pt; font-family: Symbol;">?</span><span style="font-size: 7pt;">??????</span><span style="font-size: 10pt; font-family: Arial, sans-serif;">Species difference: COVID19 may not lead to infection in wild type mice. In order to solve this problem, mouse-adaptive COVID 19 virus strain already developed in our institute which could be infected in wild type mice. Moreover, we also developed the hACE2 mice which carried with human ACE2 gene that supposed to be the virus receptor. By crossing with hACE2 mice with the Genetic Diversity mice, we will obtain the hybrid of F1 with hACE2 gene so that they will be infected with COVID 19 virus.</span></p><p><span style="font-size: 10pt; font-family: Arial, sans-serif;">?</span></p><p><u style="font-size: 10pt; font-family: Arial, sans-serif;">Capacity of CAMS</u><span style="font-size: 10pt; font-family: Arial, sans-serif;">:</span></p><p><span style="font-size: 10pt; font-family: Symbol;">?</span><span style="font-size: 7pt;">??????</span><span style="font-size: 10pt; font-family: Arial, sans-serif;">The Institute of Laboratory Animal of Science (ILAS) at Chinese Academy of Medical Sciences was established in 1980. Its superior unit is the CAMS and Peking Union Medical College (PUMC). After years of development, ILAS has become the largest national laboratory animal research institute in the health system, and the largest comprehensive research institution in China focusing on the research of animal models of human diseases, which provides strong resources and technical support for the smooth implementation of the project.</span></p><p><span style="font-size: 10pt; font-family: Symbol;">?</span><span style="font-size: 7pt;">??????</span><span style="font-size: 10pt; font-family: Arial, sans-serif;">In terms of the research team, the infectious disease research team has rich experience and solid work foundation in the establishment of infectious animal models, and has played an important role at the critical juncture of national infectious disease prevention and control, such as the fight against Influenza in 2003, SARS in 2009 and H7N9 in 2013. Through undertaking the national research projects, as well as the projects cooperated domestically and internationally, out team have developed professional skills and excellent quality in the field of infectious disease research.</span></p><p><span style="font-size: 10pt; font-family: Symbol;">?</span><span style="font-size: 7pt;">??????</span><span style="font-size: 10pt; font-family: Arial, sans-serif;">In terms of hardware and equipment, ILAS has a Biosafety level III Animal Laboratory (ABSL-3) for high-risk pathogen research, in which highly pathogenic influenza virus culture and animal infection experiments can be carried out to ensure biosafety.</span></p><p><span style="font-size: 10pt; font-family: Symbol;">?</span><span style="font-size: 7pt;">??????</span><span style="font-size: 10pt; font-family: Arial, sans-serif;">In terms of mice resources, the Genetic Diversity mouse resources needed in this study were provided by ILAS. The phenotypic analysis of Genetic Diversity mice was carried out by the infectious disease team. The genetic analysis of Genetic Diversity mice was completed with the application of the Geneminer analysis platform established by our institute. The gene knockout of CRISPR-Cas9 technology involved in this study is completed by the genetic center of our institute. The immune molecular mechanism of candidate genes is studied in our immune research group and the molecular laboratory of infectious disease team.</span></p><p><span style="font-size: 10pt; font-family: Arial, sans-serif;">?</span></p><p><span style="font-size: 10pt; font-family: Arial, sans-serif;">2.</span><span style="font-size: 7pt;">????</span><b style="font-size: 10pt; font-family: Arial, sans-serif;">Big-data driven stochastic transmission dynamic modeling for COVID-19 pandemic in China and the globe (Nanjing Medical University)??</b></p><p><span style="font-size: 10pt; font-family: Arial, sans-serif;">?</span></p><p><span style="font-size: 10pt; font-family: Arial, sans-serif;">The budget will be mainly used to cover the costs for application development, system maintenance, research team wages, and students research assistance subsidies. Considering the flexibility of this funding, the investment will significantly boost the quality of the universe simulation system and user interactive experience.?</span></p><p><br></p><p><u style="font-size: 10pt; font-family: Arial, sans-serif;">Primary Outcome</u><span style="font-size: 10pt; font-family: Arial, sans-serif;">:</span></p><p><span style="font-size: 10pt; font-family: Symbol;">?</span><span style="font-size: 7pt;">??????</span><span style="font-size: 10pt; font-family: Arial, sans-serif;">Establishing a more sophisticated stochastic dynamics model building strategy, parameter estimation methods and algorithm?implementation software.</span></p><p><span style="font-size: 10pt; font-family: Symbol;">?</span><span style="font-size: 7pt;">??????</span><span style="font-size: 10pt; font-family: Arial, sans-serif;">Establishment of a real-world simulation system for predicting epidemic trends in infectious diseases.</span></p><p><span style="font-size: 10pt; font-family: Symbol;">?</span><span style="font-size: 7pt;">??????</span><span style="font-size: 10pt; font-family: Arial, sans-serif;">Publishing four high impact methodological and applied research papers.</span></p><p><span style="font-size: 10pt; font-family: Symbol;">?</span><span style="font-size: 7pt;">??????</span><span style="font-size: 10pt; font-family: Arial, sans-serif;">Collecting the conclusion report of the former three research outcomes.</span></p><p><span style="font-size: 10pt; font-family: Arial, sans-serif;">?</span></p><p><u style="font-size: 10pt; font-family: Arial, sans-serif;">Project approach</u><span style="font-size: 10pt; font-family: Arial, sans-serif;">:</span></p><p><span style="font-size: 10pt; font-family: Arial, sans-serif;">This study intends to adopt the research ideas of mathematical theory derivation, statistical simulation, case study and software tool research:</span></p><p><span style="font-size: 10pt; font-family: Symbol;">?</span><span style="font-size: 7pt;">??????</span><span style="font-size: 10pt; font-family: Arial, sans-serif;">Mathematical theory derivation. The proposed stochastic dynamics model is explored from the perspective of stochastic differential equation theory, which has both mathematical certainty and statistical uncertainty and is more suitable for the construction of dynamics model of infectious diseases.</span></p><p><span style="font-size: 10pt; font-family: Symbol;">?</span><span style="font-size: 7pt;">??????</span><span style="font-size: 10pt; font-family: Arial, sans-serif;">Simulation study. Conduct a large number of statistical simulations based on our high-performance computer clusters and workstations to?compare the fit of different models under different hypothetical situations, and then select appropriate models to provide modeling strategies and ideas for practical applications.</span></p><p><span style="font-size: 10pt; font-family: Symbol;">?</span><span style="font-size: 7pt;">??????</span><span style="font-size: 10pt; font-family: Arial, sans-serif;">System construction. Building trajectories and networks of population flow within and across regions is key to cross-regional disease epidemiological trend analysis and outbreak study and evaluation. Based on the population of each region, traffic data of different regions and different periods, and the information of the population flow trajectories obtained from cell phone base station, so as to construct the corresponding network and develop a JAVA-based software simulation system.</span></p><p><span style="font-size: 10pt; font-family: Arial, sans-serif;">?</span></p><p><u style="font-size: 10pt; font-family: Arial, sans-serif;">Potential Risk or Challenges</u></p><p><span style="font-size: 10pt; font-family: Arial, sans-serif;">There are many challenges in studying complex dynamics models, mainly in the following points.</span></p><p><span style="font-size: 10pt; font-family: Symbol;">?</span><span style="font-size: 7pt;">??????</span><span style="font-size: 10pt; font-family: Arial, sans-serif;">Trends in stochastic parameters are important for modelling effects, but how to determine them is inconclusive.</span></p><p><span style="font-size: 10pt; font-family: Symbol;">?</span><span style="font-size: 7pt;">??????</span><span style="font-size: 10pt; font-family: Arial, sans-serif;">Computational technique similar to Bayes requires the definition of a priori distributions of parameters, but it is extremely challenging in the early stage of the epidemic of new infectious diseases while the data accumulation is not large.</span></p><p><span style="font-size: 10pt; font-family: Symbol;">?</span><span style="font-size: 7pt;">??????</span><span style="font-size: 10pt; font-family: Arial, sans-serif;">Existing models rarely use other information to participate in forecasting, and the effective use of relevant information to improve the accuracy of forecasting is also worthy of further study.</span></p><p><span style="font-size: 10pt; font-family: Arial, sans-serif;">?</span></p><p><u style="font-size: 10pt; font-family: Arial, sans-serif;">Capacity of Nanjing Medical University?</u></p><p><span style="font-size: 10pt; font-family: Arial, sans-serif;">Public Health and Preventive Medicine Department of Nanjing Medical University, to which the research group belongs, is certificated as the National A+ Discipline, the first-class doctoral degree discipline and center for post-doctoral studies. Feng Chen, the applicant&#39;s project leader, and Yong yue Wei, a member of the project team, are honored to participate in the national epidemic analysis in Beijing as the Chinese Society of Preventive Medicine Expert Group on Prevention and Control of Novel Coronavirus Infections in Pneumonia. Team members have backgrounds and professional skills in different disciplines such as mathematics, statistics, epidemiology, medicine, etc., with solid theoretical foundations, active thinking, cross-fertilization of expertise, long-term cooperation, fruitful results and the ability to independently design and develop software systems. They all have rich experience in infectious disease data analysis, large medical cohort study data analysis, big data (-omics) data analysis, and have a more in-depth understanding and research on modeling techniques, computer simulation and other analytical techniques related to this topic, is Jiangsu Province biomedical big data innovation team.</span></p><p><span style="font-size: 10pt; font-family: Arial, sans-serif;">?</span></p><p><span style="font-size: 10pt; font-family: Arial, sans-serif;">3.</span><span style="font-size: 7pt;">????</span><b style="font-size: 10pt; font-family: Arial, sans-serif;">The effects of population migration and intervention on spatiotemporal spread of COVID-19 within Hubei Province and across provinces in China (Sun Yat-sen University)</b></p><p><span style="font-size: 10pt; font-family: Arial, sans-serif;">?</span></p><p><u style="font-size: 10pt; font-family: Arial, sans-serif;">Primary Outcomes</u><span style="font-size: 10pt; font-family: Arial, sans-serif;">:</span></p><p><span style="font-size: 10pt; font-family: Arial, sans-serif;">The main results of this study are to determine the driving role of population migration in the spatial and temporal spread of COVID-19 epidemic, and the effects and influencing factors of intervention measures to control the spread of COVID-19 epidemic through shutdown and traffic restriction. The specific aspects are as follows:?</span></p><p><span style="font-size: 10pt; font-family: Symbol;">?</span><span style="font-size: 7pt;">??????</span><span style="font-size: 10pt; font-family: Arial, sans-serif;">To analyze and elucidate the effects and mechanisms of population migration and implemented interventions on the transmission of?COVID-19 in Hubei Province through the dynamics model of infectious disease transmission.</span></p><p><span style="font-size: 10pt; font-family: Symbol;">?</span><span style="font-size: 7pt;">??????</span><span style="font-size: 10pt; font-family: Arial, sans-serif;">To investigate the effects and mechanisms of population movement and migration and implemented interventions on the inter-provincial spread of COVID-19 at the national level through the dynamics model of infectious disease transmission.</span></p><p><span style="font-size: 10pt; font-family: Symbol;">?</span><span style="font-size: 7pt;">??????</span><span style="font-size: 10pt; font-family: Arial, sans-serif;">To determine the effects of demographic, social and environmental factors on population flows and the effects of implemented interventions at different spatial and temporal scales.</span></p><p><span style="font-size: 10pt; font-family: Symbol;">?</span><span style="font-size: 7pt;">??????</span><span style="font-size: 10pt; font-family: Arial, sans-serif;">To collect the conclusion report of the former three research outcomes.</span></p><p><span style="font-size: 10pt; font-family: Arial, sans-serif;">?</span></p><p><u style="font-size: 10pt; font-family: Arial, sans-serif;">Project approach</u><span style="font-size: 10pt; font-family: Arial, sans-serif;">:</span></p><p><span style="font-size: 10pt; font-family: Arial, sans-serif;">Sun Yat-sen University proposed this study based on a big data analysis approach combining with an infectious disease dynamics model that takes into account the infectivity during the incubation period and different transmission routes of COVID-19. 1) By using the Markov Chain Monte Carlo (MCMC), the daily number of patients in each city is fitted to obtain the basic reproduction number R0 in different cities. Then we use the numerical analysis and sensitivity analysis to adjust different population mobility parameters. We calculate the weight of the impact of the floating population on the basic reproduction number and the scale of infection, and quantitatively assess the driving effect of population migration on the spatial and temporal spread of the epidemic. 2) In order to clarify the effect of the current &quot;lockdown of the cities&quot; and traffic control to cut off population migration to control the spatiotemporal spread of the COVID-19 epidemic in Hubei Province, we establish prevention and control interventions dynamic model combined with latent period and potential transmission routes. Based on the SEIR modeling analysis of the spatiotemporal diffusion path of COVID-19 in Hubei Province, we further assess the potential transmission risk among Hubei Province, and clarify the role and effect of traffic restriction in the prevention and control of epidemic spread. 3)According to the results of the first and second part of the above research, the traffic intervention effects of each county and city are divided into different levels. Then use multi-level logistic regression model analysis to explore the impact of population-social-economic factors on the traffic intervention of the COVID-19 epidemic.</span></p><p><span style="font-size: 10pt; font-family: Arial, sans-serif;">?</span></p><p><u style="font-size: 10pt; font-family: Arial, sans-serif;">Potential Challenges</u><span style="font-size: 10pt; font-family: Arial, sans-serif;">:</span></p><p><span style="font-size: 10pt; font-family: Arial, sans-serif;">Based on our preliminary analysis results and the characteristics of the COVID-19 outbreak, this study faces the following two potential challenges:?</span></p><p><span style="font-size: 10pt; font-family: Symbol;">?</span><span style="font-size: 7pt;">??????</span><span style="font-size: 10pt; font-family: Arial, sans-serif;">Due to the uncertainty and the large scale of population migration during Spring Festival, the exact population migration data is not?available.?</span></p><p><span style="font-size: 10pt; font-family: Symbol;">?</span><span style="font-size: 7pt;">??????</span><span style="font-size: 10pt; font-family: Arial, sans-serif;">At the early stage of the epidemic outbreak, most of the details of information (such as epidemiologic characteristic, biochemical test) are not available in some patients.</span></p><p><span style="font-size: 10pt; font-family: Arial, sans-serif;">?</span></p><p><u style="font-size: 10pt; font-family: Arial, sans-serif;">Capacity of Sun Yat-sen University</u></p><p><span style="font-size: 10pt; font-family: Arial, sans-serif;">Sun Yat-sen University is the main responsible institution of this project. It is a leading advanced university in China with sufficient project management and can ensure smooth progress of the project.</span></p><p><span style="font-size: 10pt; font-family: Arial, sans-serif;">Rich experience on dynamic modeling of infectious diseases. The research team led of Dr. Hualiang Lin specializes in epidemiology of infectious diseases, and has substantial experience in climate change and infectious diseases, and related disease surveillance, risk assessment and early warning. We have been engaged in the research on the ecology and control methods of infectious disease vectors and hosts for a long time, especially on the dynamic modeling analysis of infectious diseases.?</span></p><p><span style="font-size: 10pt; font-family: Arial, sans-serif;">International cooperation: The team of this project has established close international and national cooperation with many academic institutions and experts for a long time. Cooperated institutions include: Saint Louis University, Hong Kong University, Chinese Center for Disease Control and Prevention, and The Chinese University of Hong Kong and so on.</span></p><p><span style="font-size: 10pt; font-family: Arial, sans-serif;">Rich experience on project management: The leader of this project has rich experience on project management. Recent five years, the leader of this project has several projects supported by Youth program of NSFC and NSFC.</span></p><p><span style="font-size: 10pt; font-family: Arial, sans-serif;">?</span></p><p><span style="font-size: 10pt; font-family: Arial, sans-serif;">4.</span><span style="font-size: 7pt;">????</span><b style="font-size: 10pt; font-family: Arial, sans-serif;">A study on the outbreak and pattern of development of COVID-19, based on new mathematical and statistical models (Peking University)</b></p><p><span style="font-size: 10pt; font-family: Arial, sans-serif;">?</span></p><p><u style="font-size: 10pt; font-family: Arial, sans-serif;">Primary Outcomes</u><span style="font-size: 10pt; font-family: Arial, sans-serif;">:</span></p><p><span style="font-size: 10pt; font-family: Symbol;">?</span><span style="font-size: 7pt;">??????</span><span style="font-size: 10pt; font-family: Arial, sans-serif;">On the basis of multi-source data fusion, a general mathematical model of virus transmission process and corresponding statistical analysis methods are established to analyze the population susceptibility and mechanism of the novel virus.?</span></p><p><span style="font-size: 10pt; font-family: Symbol;">?</span><span style="font-size: 7pt;">??????</span><span style="font-size: 10pt; font-family: Arial, sans-serif;">Combining the clinical characteristics of COVID-19, the methods of analysis and prediction of the epidemic in key areas are proposed.</span></p><p><span style="font-size: 10pt; font-family: Symbol;">?</span><span style="font-size: 7pt;">??????</span><span style="font-size: 10pt; font-family: Arial, sans-serif;">Based on causal inference framework, the methods of adaptively evaluating the intervention measures under a dynamic environment are proposed.</span></p><p><span style="font-size: 10pt; font-family: Symbol;">?</span><span style="font-size: 7pt;">??????</span><span style="font-size: 10pt; font-family: Arial, sans-serif;">With the virus sequence data, potential super spreaders can be identified and located and hence it provides support for developing targeted prevention and control measures.</span></p><p><span style="font-size: 10pt; font-family: Symbol;">?</span><span style="font-size: 7pt;">??????</span><span style="font-size: 10pt; font-family: Arial, sans-serif;">Build advanced statistical analysis packages to substantialize the theoretical results into an easy-to-use software platform.</span></p><p><span style="font-size: 10pt; font-family: Symbol;">?</span><span style="font-size: 7pt;">??????</span><span style="font-size: 10pt; font-family: Arial, sans-serif;">Form decision recommendations for the prevention and control of COVID-19 on the basis of theoretical study.?</span></p><p><span style="font-size: 10pt; font-family: Symbol;">?</span><span style="font-size: 7pt;">??????</span><span style="font-size: 10pt; font-family: Arial, sans-serif;">Publish more than 10 research in major international and domestic academic journals and conferences.</span></p><p><span style="font-size: 10pt; font-family: Symbol;">?</span><span style="font-size: 7pt;">??????</span><span style="font-size: 10pt; font-family: Arial, sans-serif;">Collect the conclusion report of the foregoing research outcomes.</span></p><p><span style="font-size: 10pt; font-family: Arial, sans-serif;">?</span></p><p><u style="font-size: 10pt; font-family: Arial, sans-serif;">Project Approach</u><span style="font-size: 10pt; font-family: Arial, sans-serif;">:</span></p><p><span style="font-size: 10pt; font-family: Symbol;">?</span><span style="font-size: 7pt;">??????</span><span style="font-size: 10pt; font-family: Arial, sans-serif;">Part 1?Comprehensive analysis of the current status of COVID-19 outbreak</span></p><p><span style="font-size: 10pt; font-family: Arial, sans-serif;">Based on the fundamental theory of interacting particle systems, and taking into the consideration of the unique epidemiological characteristics and features of COVID-19, as well as the spatial and temporal structure of the diffusion process and the growing panic among population, this project builds a new individualized disease transmission model of COVID-19. With multi-source data such as epidemiological data, virus gene data and environmental data, this project provides comprehensive analyzed results of COVID-19.</span></p><p><span style="font-size: 10pt; font-family: Arial, sans-serif;">??</span></p><p><span style="font-size: 10pt; font-family: Symbol;">?</span><span style="font-size: 7pt;">??????</span><span style="font-size: 10pt; font-family: Arial, sans-serif;">Part 2 Evaluation of intervention measures based on causal inference model</span></p><p><span style="font-size: 10pt; font-family: Arial, sans-serif;">In the current outbreak of COVID-19 pandemic, relevant departments of local governments in China have adopted a series of prevention and control measures. These measures have significantly reduced the infection trend, especially in Wuhan. Evaluating the effectiveness of interventions (eg. traffic control, &quot;lockdown of city&quot;) provides valuable prospects for future disease prevention and control. Traditional break point regression or discontinuity time series methods for evaluation of policies compare the outcome variables of interest (eg, the number of confirmed cases) before and after the policy implementations. However, the difference in outcome variables of interest before and after may be the combined result of two aspects: intervention measures are more likely to occur in the epicenter, while at the same time, with the increase of public awareness of the epidemic, residents in the epicenter tend to protect themselves by self-quarantine, waring masking and so on, which reduce the possibility transmissions of disease. Direct comparison of the changes in the outcome variables of interest before and after the intervention measures may overestimate the actual effect of the policy.</span></p><p><span style="font-size: 10pt; font-family: Arial, sans-serif;">?</span></p><p><span style="font-size: 10pt; font-family: Arial, sans-serif;">Unobservable confounding factors raise the endogenous issue of interventions, which results in a correlated relationship between interventions and outcome variables correlated rather than causal. In order to deal with the overlap and interaction between these interventions and the confounding factors such as the characteristics of the city and the severity of the epidemic, it is necessary to adopt a statistical causal model for analysis. This project proposes statistical causal inference model to evaluate the effectiveness of various intervention policies, including inter-city traffic control measures and intra-city traffic control measures, and analyzes the interaction between city size and intervention measures. In addition, economic and social development data can be combined to conduct a more comprehensive and cost-effectiveness analysis of interventions. The results of these evaluations are of great significance to make new prevention and control measures.</span></p><p><span style="font-size: 10pt; font-family: Arial, sans-serif;">?</span></p><p><span style="font-size: 10pt; font-family: Symbol;">?</span><span style="font-size: 7pt;">??????</span><span style="font-size: 10pt; font-family: Arial, sans-serif;">Part 3 Fundamental theoretical studies on mathematical and statistical models</span></p><p><span style="font-size: 10pt; font-family: Arial, sans-serif;">Research on epidemic diffusion based on interactive particle system: This study uses relevant theories of interacting particle systems in modern probability theory and combines latest progress in the quantitative modeling of epidemiology / sociology / ecology in recent years to establishes new mathematical models and theories suitable for the characteristics of this 2019-nCov epidemic, by considering both the spatial and random nature of epidemic development and population mobility. The proposed model takes into account the change of disease status, the diffusion and flow of latent patients in space, as well as the diffusion, delay and asymmetry of disease control information, which can more accurately describe the occurrence and development process of the epidemic, and lay a solid theoretical foundation for the follow-up research contents such as epidemic analysis and intervention evaluation.</span></p><p><br></p><p><span style="font-size: 10pt; font-family: Arial, sans-serif;">Fundamental research on causal inference theory: In the causal inference model, there are unobservable confounding variables besides observable covariates. If the effects of confounding factors are ignored, the estimation of causal effects are biased. If confounding factors are unobservable, causal effects are not always identifiable. This study considers how to use the proxy variables of confounding variables to reflect the characteristics of confounding variables, and to figure out the identifiable conditions of causal effect for the situation where the proxy variables are correlated to the outcome variables of interest. For a causal inference model that satisfies the identifiability conditions, this study explores a robust estimation method for causal effects. In the case of multiple interventions, the estimation methods of treatment effects of different interventions are studied.</span></p><p><span style="font-size: 10pt; font-family: Arial, sans-serif;">?</span></p><p><span style="font-size: 10pt; font-family: Symbol;">?</span><span style="font-size: 7pt;">??????</span><span style="font-size: 10pt; font-family: Arial, sans-serif;">Part 4 Research on methods and tools for assistant of decision-making with regard to acute infectious diseases</span></p><p><span style="font-size: 10pt; font-family: Arial, sans-serif;">According to the preparation on methodology and data collection in the early stage, a system of epidemic dynamic analyses and assistant of decision-making methods for acute infectious diseases is built, and a software platform is built which can be used by research institutes, hospitals, health administrative departments and other relevant institutions. At present, there are many theoretical methods for epidemic analysis and decision-making, many of which have formed R packages. However, these software packages are generally for researchers and are not user friendly. One of the features of this project is to form decision recommendations for the prevention and control of COVID-19 on the basis of theoretical study and uses advanced statistical analysis packages to substantialize the theoretical results into an easy-to-use software platform. The software platform is open to scientific institutes and personnel that are relevant to the research of acute infectious disease epidemic situation, and provides a strong support for the prevention and control of infectious disease in the future.</span></p><p><span style="font-size: 10pt; font-family: Arial, sans-serif;">?</span></p><p><u style="font-size: 10pt; font-family: Arial, sans-serif;">Potential challenges</u><span style="font-size: 10pt; font-family: Arial, sans-serif;">:</span></p><p><span style="font-size: 10pt; font-family: Symbol;">?</span><span style="font-size: 7pt;">??????</span><span style="font-size: 10pt; font-family: Arial, sans-serif;">The comprehensive modeling of virus transmission and population migration involving randomness, spatiality and information asymmetry.</span></p><p><span style="font-size: 10pt; font-family: Symbol;">?</span><span style="font-size: 7pt;">??????</span><span style="font-size: 10pt; font-family: Arial, sans-serif;">The estimation of the infection size in the key areas combined with population migration model and dynamic model.</span></p><p><span style="font-size: 10pt; font-family: Symbol;">?</span><span style="font-size: 7pt;">??????</span><span style="font-size: 10pt; font-family: Arial, sans-serif;">Issues related to identification and estimation of causal effects in the presence of unobservable confounding.</span></p><p><span style="font-size: 10pt; font-family: Arial, sans-serif;">?</span></p><p><u style="font-size: 10pt; font-family: Arial, sans-serif;">Capacity of PKU</u><span style="font-size: 10pt; font-family: Arial, sans-serif;">:</span></p><p><span style="font-size: 10pt; font-family: Arial, sans-serif;">This project is led by Peking university, with the joint participation of the Chinese Center for Disease Control and Prevention and the National Institute for Viral Disease Control and Prevention. The research group has long been engaged in data collection, mathematical and statistical modeling, epidemiological data analysis and software development, etc., which has laid a good technical foundation for the implementation of the project.?</span></p><p><br></p><p><span style="font-size: 10pt; font-family: Arial, sans-serif;">The project leader, Peking University, has one of the best mathematical science, statistical science, data science and public health in China. Combining with the strengths of the Beijing International Mathematics Center of Peking University, the project team forms one of the strongest and most outstanding teams in the field of mathematics, statistics and public health in China.?</span></p><p><span style="font-size: 10pt; font-family: Arial, sans-serif;">The Chinese Center for Disease Control and Prevention is a public institution directly under the National Health Commission. It has undertaken National Science and Technology Major Project led by Shanghai Oriental Hepatobiliary Hospital, participated in research on the meteorological, socioeconomic and demographic risk factors of hand, foot and mouth disease, the dynamic model of the prevention and control of new respiratory infectious diseases, and public health risk prevention and its mode innovation under the background of ?One Belt and One Road?, all supported by National Natural Science Foundation of China.</span></p><p><br></p><p><span style="font-size: 10pt; font-family: Arial, sans-serif;">The National Institute for Viral Disease Control and Prevention is an independent legal entity under the China Center for Disease Control and Prevention, which undertakes the establishment and management, technical guidance and training, data analysis and research of the national virus disease surveillance network and provides scientific evidences and technical support for the government to formulate laws and regulations, regulatory standards, normative guidelines and program plans related to virus disease prevention and control. It also conducts scientific research and postgraduate education, personnel training and technical training related to viral diseases, thus providing new theories, technologies and methods for the prevention and control of viral diseases. Through international cooperation, it jointly guards against viral infectious diseases worldwide. The National Institute for Viral Disease Control and Prevention has undertaken scientific research projects on infectious diseases supported by the National High-tech R&amp;D Program of China (863 Program), the National Program on Key Basic Research Project (973 Program), the National Key Technology R&amp;D Program, the Ministry of Health of China Key Project and the State Commission of Science Technology of China funds and other programs during the Eleven Five-year Plan Period and the Twelfth Five-year Plan Period. It has received more than 130 national and ministerial awards 30 new drug certificates.</span></p><p><span style="font-size: 10pt; font-family: Arial, sans-serif;">??</span></p><p><span style="font-size: 10pt; font-family: Arial, sans-serif;">5.</span><span style="font-size: 7pt;">????</span><b style="font-size: 10pt; font-family: Arial, sans-serif;">Host correlates of COVID-19 infected patients with atypical symptoms (Huashan Hospital)</b></p><p><span style="font-size: 10pt; font-family: Arial, sans-serif;">?</span></p><p><u style="font-size: 10pt; font-family: Arial, sans-serif;">Primary Outcomes</u><span style="font-size: 10pt; font-family: Arial, sans-serif;">:</span></p><p><span style="font-size: 10pt; font-family: Arial, sans-serif;">The overall research goal of this subject is to determine the host factors associated with the SARS-COV-2 atypical-symptom infection and preliminarily analyze the mechanism. The primary outcome will be present with the following 3 key goals:</span></p><p><span style="font-size: 10pt; font-family: Symbol;">?</span><span style="font-size: 7pt;">??????</span><span style="font-size: 10pt; font-family: Arial, sans-serif;">Explain the micro-ecology, cell composition and status of microflora in the micro-environment of respiratory tract tissues of patients with atypical symptoms, and the histopathologic distribution of viruses and cells.</span></p><p><span style="font-size: 10pt; font-family: Symbol;">?</span><span style="font-size: 7pt;">??????</span><span style="font-size: 10pt; font-family: Arial, sans-serif;">Analyze the role of respiratory tract mucosa tissue and system adaptive immune response in controlling disease development in atypical-symptom infection.?</span></p><p><span style="font-size: 10pt; font-family: Symbol;">?</span><span style="font-size: 7pt;">??????</span><span style="font-size: 10pt; font-family: Arial, sans-serif;">Determine the genetic factors of SARS-COV-2 susceptibility, disease development and clinical outcome.</span></p><p><span style="font-size: 10pt; font-family: Symbol;">?</span><span style="font-size: 7pt;">??????</span><span style="font-size: 10pt; font-family: Arial, sans-serif;">Collect the conclusion report of the former three research outcomes.</span></p><p><span style="font-size: 10pt; font-family: Arial, sans-serif;">?</span></p><p><u style="font-size: 10pt; font-family: Arial, sans-serif;">Project approaches</u><span style="font-size: 10pt; font-family: Arial, sans-serif;">:</span></p><p><span style="font-size: 10pt; font-family: Arial, sans-serif;">All the experimental steps are carried out in the biosafety level II laboratory. The operators have a wealth of microbiologic operation experience. After the experiment, the items are sterilized and treated as medical and sanitary garbage.?</span></p><p><span style="font-size: 10pt; font-family: Symbol;">?</span><span style="font-size: 7pt;">??????</span><span style="font-size: 10pt; font-family: Arial, sans-serif;">Microenvironment of SARS-COV-2 infected respiratory tissue</span></p><p><span style="font-size: 10pt; font-family: Arial, sans-serif;">The subject will include 10 cases of &quot;atypical symptoms&quot; infection, 30 cases of common pneumonia, 10-20 cases of severe or critically ill patients. Pharyngeal swabs and sputum samples were taken every 2 days since the first laboratory diagnosis until the isolation is released. After that samples are taken every 2 weeks in a follow-up of 28 days. Generally, samples are taken about 10-20 times within 20-40 days in the hospital, and 2 times in 28 days outside the hospital.?</span></p><p><span style="font-size: 10pt; font-family: Arial, sans-serif;">?</span></p><p><span style="font-size: 10pt; font-family: Symbol;">?</span><span style="font-size: 7pt;">??????</span><span style="font-size: 10pt; font-family: Arial, sans-serif;">The adaptive immune response of SARS-COV-2 infection:</span></p><p><span style="font-size: 10pt; font-family: Arial, sans-serif;">We will include 10 cases of ?atypical symptoms? infected persons, 30 patients with common pneumonia, 10-20 cases of severe or critically ill patients. For pneumonia patients, serum or plasma is collected according to clinical examination requires since the first laboratory diagnosis. Remaining serum or plasma after clinical testing is recycled. PBMC is performed every 6 to 7 days to collect EDTA anticoagulated blood until discharge. For &quot;Atypical symptoms&quot; infected people, serum or plasma and PBMC were collected every 6 ~ 7 days since the first laboratory diagnosis until the isolation is released. After discharge or release of isolation, serum / plasma and PBMC is collected every 2 weeks in the following 28 days.?</span></p><p><span style="font-size: 10pt; font-family: Arial, sans-serif;">?</span></p><p><span style="font-size: 10pt; font-family: Symbol;">?</span><span style="font-size: 7pt;">??????</span><span style="font-size: 10pt; font-family: Arial, sans-serif;">Genetic factors affecting the clinical outcome of SARS-COV-2 infection:</span></p><p><span style="font-size: 10pt; font-family: Arial, sans-serif;">The genomic DNA of whole blood cells was extracted and whole genome re-sequencing was performed on the Illumina 10X sequencing platform after the library was built. The depth of sequencing of each specimen is not less than 10X. Sequencing data is filtered by quality control and high-quality clean reads are selected. Use bowtie2 to map the original file to the human reference genome (hg37 / hg38) to obtain a bam file, and confirm that the sequencing coverage depth of 90% regions is greater than 10X. Use samtools or GATK to correspond module. Perform SNV, small InDel analysis to determine the mutation site in each specimen, and make genetic annotations.</span></p><p><span style="font-size: 10pt; font-family: Arial, sans-serif;">Finally, the clinical grouping is based on disease status. Calculate the corresponding mutation site of each group through GWAS. During the GWAS analysis, individual kinship and group stratification are the main factor of false positivity. Therefore, we adopt hybrid linear model for trait association analysis, population genetic structure as a fixed effect, individual kinship as a random effect to correct the influence of individual kinship and group structure:</span></p><p><span style="font-size: 10pt; font-family: Arial, sans-serif;">?</span></p><p><u style="font-size: 10pt; font-family: Arial, sans-serif;">Potential challenges</u><span style="font-size: 10pt; font-family: Arial, sans-serif;">:</span></p><p><span style="font-size: 10pt; font-family: Arial, sans-serif;">SARS-COV-2 is a brand-new coronavirus that causes human infection. The understanding of the disease progress is at a cumulative stage. Through active epidemic prevention monitoring, we found that in addition to typical pneumonia patients and severe / critically ill patients, there are also atypical-symptom infected persons who have no typical pneumonia symptoms, and carriers of no symptoms. At present, our understanding of the clinical pathogenic mechanism of coronavirus mainly comes from research data on late critical cases of SARS-CoV and MERS-CoV. Understanding of the early events of this disease is lacking.</span></p><p><span style="font-size: 10pt; font-family: Arial, sans-serif;">?</span></p><p><u style="font-size: 10pt; font-family: Arial, sans-serif;">Capacity of Huashan Hospital</u><span style="font-size: 10pt; font-family: Arial, sans-serif;">:</span></p><p><span style="font-size: 10pt; font-family: Arial, sans-serif;">Clinical resource guarantee and mature experimental technology reserve:?</span></p><p><span style="font-size: 10pt; font-family: Arial, sans-serif;">The applicant is the head of Shanghai SARS-COV-2 medical treatment expert group, responsible for the treatment of patients in the Huashan Hospital affiliated to Fudan University and the designated admission hospital Shanghai Public Health Center. As of February 4, more than 200 cases of SARS-COV-2 infection have been diagnosed in Shanghai, including 12 cases of severe or critical illness, and more than 20 cases of &quot;atypical symptoms&quot; infection. According to Shanghai and Fudan University. In accordance with the emergency research requirements of Shanghai and Fudan University, we have collected and preserved specimens such as pharyngeal swabs, whole blood, serum, PBMC, etc. And preliminarily establish laboratory methods such as viral nucleic acid amplification and detection.</span></p><p><br></p><p><span style="font-size: 10pt; font-family: Arial, sans-serif;">The Infectious Diseases team of Fudan University and the Infectious Diseases Institute of Huashan Hospital have long been engaged in the identification of new infectious pathogens and the study of clinical pathogenic mechanisms. We led the prevention and control of Shanghai H1N1 in 2009 and H7N9 in 2013, and report human cases of H7N9 infection and human cases of swine herpes virus for the first time. We also described the role of antibody immunity and T cell immune response in the immune protection and clinical pathogenic mechanism of H1N1 and H7N9 vaccine. The project team has strong technical advantages in genomics and immunology. Equipped with second-generation sequencing, third-generation sequencing detection, bioinformatics analysis platform and systematic immunology analysis platform, we can study the clinical progression model of the new virus in two aspects, pathogen genomics and host immunology. The laboratory has established methods for cell isolation and preservation of peripheral blood specimens, multi-color flow cytometry, RNAscope in situ hybridization, and primary T cell-related in vitro functional experiment technology to provide experimental materials and technical support for the project. The project team is led by experienced professor Zhang Wenhong. The participants are mainly composed of young and middle-aged researchers. They have expertise in genomic sequencing, immunology, bioinformatics, clinical medicine and other research directions.</span></p><p><span style="font-size: 10pt; font-family: Arial, sans-serif;">?</span></p></body></html>]]></Project_Overview>
    <Public_Descrption><![CDATA[<html><head><meta charset='UTF-8'></head><body>to accelerate detection and suppression of current and future COVID-19 outbreaks via research on pandemic modeling, research and animal experiments.</body></html>]]></Public_Descrption>
    <Strategic_Fit><![CDATA[<html><head><meta charset='UTF-8'></head><body><p>The investment aims to support five research teams in China to develop COVID-19 epidemiology models, genetic mechanism of differential susceptibility to novel coronavirus through using the Genetic Diversity Mice, and host correlates of COVID-19 infected patients with atypical symptoms. These studies will match the strategy of COVID-19 by accelerating detection and containment of COVID-19 through pandemic modeling,?promoting vaccine and drug development through animal experiments; and generally enhancing China&#39;s engagement in COVID-19 R&amp;D.</p></body></html>]]></Strategic_Fit>
  </Investment_Description>
  <GRP01>true</GRP01>
  <GRP02>true</GRP02>
  <GRP03>false</GRP03>
  <GRP04>false</GRP04>
  <STR01>false</STR01>
  <STR02>true</STR02>
  <STR03>false</STR03>
  <STR04>false</STR04>
  <STR05>false</STR05>
  <STR06>false</STR06>
  <STR07>false</STR07>
  <STR08>false</STR08>
  <STR09>false</STR09>
  <STR10>false</STR10>
  <STR11>false</STR11>
  <Investment_Managing_Team>GPA</Investment_Managing_Team>
  <Internal_Contract_Fields displayName="Internal Contract Fields" displayValue="Internal Contract Fields">
    <Compensation_and_Fees/>
    <Compensation_and_Fees_Delta>0.00</Compensation_and_Fees_Delta>
    <Compensation_and_Fees_Delta_unformatted>0.00</Compensation_and_Fees_Delta_unformatted>
    <Expenses/>
    <Expenses_Delta>0.00</Expenses_Delta>
    <Expenses_Delta_unformatted>0.00</Expenses_Delta_unformatted>
    <Taxes/>
    <Taxes_Delta>0.00</Taxes_Delta>
    <Taxes_Delta_unformatted>0.00</Taxes_Delta_unformatted>
    <GL_Container displayName="GL" displayValue="GL">
      <GL_Id>a2j1R0000013CAmQAM</GL_Id>
    </GL_Container>
    <Annual_Amounts_Container displayName="Annual Amounts" displayValue="Annual Amounts">
      <Annual_Amounts_Id>a2j1R0000013CAmQAM</Annual_Amounts_Id>
      <Annual_Amounts displayName="" displayValue="">
        <Year>2020</Year>
        <Year_unformatted>2020-06-01T00:00:00.0000000</Year_unformatted>
        <Amount>900,000.00</Amount>
        <Change_AA>0.00</Change_AA>
        <Paid_AA>0.00</Paid_AA>
        <Outstanding_AA>900,000.00</Outstanding_AA>
      </Annual_Amounts>
    </Annual_Amounts_Container>
  </Internal_Contract_Fields>
  <CDC02>false</CDC02>
  <CDC03>false</CDC03>
  <CDC04>false</CDC04>
  <CDC05>false</CDC05>
  <CDC06>false</CDC06>
  <CDC07>false</CDC07>
  <CDC08>false</CDC08>
  <CDC09>false</CDC09>
  <CPC01>false</CPC01>
  <CPC02>false</CPC02>
  <CPC03>false</CPC03>
  <CPC04>false</CPC04>
  <Data_Privacy>false</Data_Privacy>
  <Information_Security>false</Information_Security>
  <Staffing_Independent_Contractor>false</Staffing_Independent_Contractor>
  <Staffing_Onsite>false</Staffing_Onsite>
  <Staffing_Systems>false</Staffing_Systems>
  <Staffing_Temporary_Backfill_Seconded>false</Staffing_Temporary_Backfill_Seconded>
  <Online_Services_Social_Media>false</Online_Services_Social_Media>
  <Online_Services_Software>false</Online_Services_Software>
  <Online_Services_Website>false</Online_Services_Website>
  <Intellectual_Property>false</Intellectual_Property>
  <Technical_Assistance>false</Technical_Assistance>
  <Regulated_Activities>false</Regulated_Activities>
  <Advocacy_Lobbying_Elections>false</Advocacy_Lobbying_Elections>
  <Advocacy_Lobbying_Policy_Legislation>false</Advocacy_Lobbying_Policy_Legislation>
  <Template_Fields displayName="Template Fields" displayValue="Template Fields">
    <In_process_Grant>IN PROCESS GRANT</In_process_Grant>
    <In_process_Contract>IN PROCESS CONTRACT</In_process_Contract>
    <Grant_Header>GRANT</Grant_Header>
  </Template_Fields>
  <ER displayName="ER" displayValue="ER">
    <EXR01_Benefit_From_Work/>
    <EXR1B_Benefit_From_Work_Financially/>
    <EXR02_Project_Addresses_Need/>
    <EXR03_Right_Organization/>
  </ER>
  <Investment_Allocation_Object_Info__Location_of_Work_Container displayName="Investment Allocation Object Info (Location of Work)" displayValue="Investment Allocation Object Info (Location of Work)">
    <Investment_Allocation_Object_Info__Location_of_Work_Id>a2j1R0000013CAmQAM</Investment_Allocation_Object_Info__Location_of_Work_Id>
    <Investment_Allocation_Object_Info__Location_of_Work displayName="" displayValue="">
      <Investment_Allocation_Id__LOW>a3K1R000002eD4HUAU</Investment_Allocation_Id__LOW>
      <INV_Allocation_Number__LOW>INVALC-066005</INV_Allocation_Number__LOW>
      <Allocation_Name__LOW>China</Allocation_Name__LOW>
      <Allocation_Amount__LOW>$900,000.00</Allocation_Amount__LOW>
    </Investment_Allocation_Object_Info__Location_of_Work>
  </Investment_Allocation_Object_Info__Location_of_Work_Container>
  <LOW_Table_Info_Container displayName="LOW Table Info" displayValue="LOW Table Info">
    <LOW_Table_Info_Id>a2j1R0000013CAmQAM</LOW_Table_Info_Id>
    <LOW_Table_Info displayName="" displayValue="">
      <Payment_ID__LOW>PYMT-019589</Payment_ID__LOW>
      <Payment_Date__LOW>June 01, 2020</Payment_Date__LOW>
      <Payment_Date__LOW_unformatted>2020-06-01T00:00:00.0000000</Payment_Date__LOW_unformatted>
    </LOW_Table_Info>
  </LOW_Table_Info_Container>
  <INV_Record_Id>a2j1R0000013CAmQAM</INV_Record_Id>
  <INV_Allocation_Cost_Centers_Container displayName="INV Allocation Cost Centers" displayValue="INV Allocation Cost Centers">
    <INV_Allocation_Cost_Centers_Id>a2j1R0000013CAmQAM</INV_Allocation_Cost_Centers_Id>
    <INV_Allocation_Cost_Centers displayName="" displayValue="">
      <IA_Id>a3K1R000002YQ0hUAG</IA_Id>
      <IA_Type>Cost Center</IA_Type>
      <IA_Subtype/>
      <IA_Allocation_Amount>$900,000.00</IA_Allocation_Amount>
      <IA_Name>INVALC-023720</IA_Name>
    </INV_Allocation_Cost_Centers>
  </INV_Allocation_Cost_Centers_Container>
  <StrategyAllocations_Container displayName="StrategyAllocations" displayValue="StrategyAllocations">
    <StrategyAllocations_Id>a2j1R0000013CAmQAM</StrategyAllocations_Id>
    <StrategyAllocations displayName="" displayValue="">
      <StrategyName>Combat COVID-19 for China and for the World</StrategyName>
      <Strategy_Allocation_Amount>$900,000.00</Strategy_Allocation_Amount>
    </StrategyAllocations>
  </StrategyAllocations_Container>
</TemplateFieldData>
</file>

<file path=customXml/item4.xml><?xml version="1.0" encoding="utf-8"?>
<ct:contentTypeSchema xmlns:ct="http://schemas.microsoft.com/office/2006/metadata/contentType" xmlns:ma="http://schemas.microsoft.com/office/2006/metadata/properties/metaAttributes" ct:_="" ma:_="" ma:contentTypeName="Document" ma:contentTypeID="0x0101001E7CA9B29A0EE34A937F104860C9C7B6" ma:contentTypeVersion="9" ma:contentTypeDescription="Create a new document." ma:contentTypeScope="" ma:versionID="4c7f5885abcfb9bf1456932ebd5e641b">
  <xsd:schema xmlns:xsd="http://www.w3.org/2001/XMLSchema" xmlns:xs="http://www.w3.org/2001/XMLSchema" xmlns:p="http://schemas.microsoft.com/office/2006/metadata/properties" xmlns:ns2="aaceab04-5e3f-488d-9470-8acf8a96df62" targetNamespace="http://schemas.microsoft.com/office/2006/metadata/properties" ma:root="true" ma:fieldsID="2c8f16a0944bf911e2fd346cf40eed19" ns2:_="">
    <xsd:import namespace="aaceab04-5e3f-488d-9470-8acf8a96df62"/>
    <xsd:element name="properties">
      <xsd:complexType>
        <xsd:sequence>
          <xsd:element name="documentManagement">
            <xsd:complexType>
              <xsd:all>
                <xsd:element ref="ns2:Do_x0020_Not_x0020_Distribute" minOccurs="0"/>
                <xsd:element ref="ns2:Description0" minOccurs="0"/>
                <xsd:element ref="ns2:Document_x0020_Type" minOccurs="0"/>
                <xsd:element ref="ns2:Version0" minOccurs="0"/>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eab04-5e3f-488d-9470-8acf8a96df62" elementFormDefault="qualified">
    <xsd:import namespace="http://schemas.microsoft.com/office/2006/documentManagement/types"/>
    <xsd:import namespace="http://schemas.microsoft.com/office/infopath/2007/PartnerControls"/>
    <xsd:element name="Do_x0020_Not_x0020_Distribute" ma:index="8" nillable="true" ma:displayName="Do Not Distribute" ma:internalName="Do_x0020_Not_x0020_Distribute">
      <xsd:simpleType>
        <xsd:restriction base="dms:Boolean"/>
      </xsd:simpleType>
    </xsd:element>
    <xsd:element name="Description0" ma:index="10" nillable="true" ma:displayName="Description" ma:internalName="Description0">
      <xsd:simpleType>
        <xsd:restriction base="dms:Note">
          <xsd:maxLength value="255"/>
        </xsd:restriction>
      </xsd:simpleType>
    </xsd:element>
    <xsd:element name="Document_x0020_Type" ma:index="11" nillable="true" ma:displayName="Document Type" ma:format="Dropdown" ma:internalName="Document_x0020_Type">
      <xsd:simpleType>
        <xsd:union memberTypes="dms:Text">
          <xsd:simpleType>
            <xsd:restriction base="dms:Choice">
              <xsd:enumeration value="Amendment"/>
              <xsd:enumeration value="Budget"/>
              <xsd:enumeration value="Deliverable/Milestone"/>
              <xsd:enumeration value="Due Diligence"/>
              <xsd:enumeration value="Final Report"/>
              <xsd:enumeration value="Gender Integration Marker"/>
              <xsd:enumeration value="Progress Report"/>
              <xsd:enumeration value="Proposal"/>
              <xsd:enumeration value="Results Framework &amp; Tracker"/>
              <xsd:enumeration value="Investment Record Snapshot"/>
            </xsd:restriction>
          </xsd:simpleType>
        </xsd:union>
      </xsd:simpleType>
    </xsd:element>
    <xsd:element name="Version0" ma:index="12" nillable="true" ma:displayName="Version" ma:format="Dropdown" ma:internalName="Version0">
      <xsd:simpleType>
        <xsd:restriction base="dms:Choice">
          <xsd:enumeration value="Draft"/>
          <xsd:enumeration value="Final"/>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escription0 xmlns="aaceab04-5e3f-488d-9470-8acf8a96df62" xsi:nil="true"/>
    <Do_x0020_Not_x0020_Distribute xmlns="aaceab04-5e3f-488d-9470-8acf8a96df62" xsi:nil="true"/>
    <Document_x0020_Type xmlns="aaceab04-5e3f-488d-9470-8acf8a96df62" xsi:nil="true"/>
    <Version0 xmlns="aaceab04-5e3f-488d-9470-8acf8a96df62" xsi:nil="true"/>
  </documentManagement>
</p:properties>
</file>

<file path=customXml/itemProps1.xml><?xml version="1.0" encoding="utf-8"?>
<ds:datastoreItem xmlns:ds="http://schemas.openxmlformats.org/officeDocument/2006/customXml" ds:itemID="{259D3884-BC14-45D9-B45E-D81D3DABF494}">
  <ds:schemaRefs/>
</ds:datastoreItem>
</file>

<file path=customXml/itemProps2.xml><?xml version="1.0" encoding="utf-8"?>
<ds:datastoreItem xmlns:ds="http://schemas.openxmlformats.org/officeDocument/2006/customXml" ds:itemID="{A4B31E17-D7CA-4383-B05A-93515B2C5D0D}">
  <ds:schemaRefs/>
</ds:datastoreItem>
</file>

<file path=customXml/itemProps3.xml><?xml version="1.0" encoding="utf-8"?>
<ds:datastoreItem xmlns:ds="http://schemas.openxmlformats.org/officeDocument/2006/customXml" ds:itemID="{735B8BF3-86AA-4FE0-AC94-03D345555724}">
  <ds:schemaRefs/>
</ds:datastoreItem>
</file>

<file path=customXml/itemProps4.xml><?xml version="1.0" encoding="utf-8"?>
<ds:datastoreItem xmlns:ds="http://schemas.openxmlformats.org/officeDocument/2006/customXml" ds:itemID="{89DC439A-97A1-4D2A-82C2-E7DDDE46CFB7}">
  <ds:schemaRefs/>
</ds:datastoreItem>
</file>

<file path=customXml/itemProps5.xml><?xml version="1.0" encoding="utf-8"?>
<ds:datastoreItem xmlns:ds="http://schemas.openxmlformats.org/officeDocument/2006/customXml" ds:itemID="{61F57B4B-1286-4A13-BD30-DE8B068E7169}">
  <ds:schemaRefs/>
</ds:datastoreItem>
</file>

<file path=customXml/itemProps6.xml><?xml version="1.0" encoding="utf-8"?>
<ds:datastoreItem xmlns:ds="http://schemas.openxmlformats.org/officeDocument/2006/customXml" ds:itemID="{C86CBD69-BFAC-4C79-BD63-0C5041141D5B}">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Pages>
  <Words>1781</Words>
  <Characters>8978</Characters>
  <Lines>87</Lines>
  <Paragraphs>24</Paragraphs>
  <TotalTime>35</TotalTime>
  <ScaleCrop>false</ScaleCrop>
  <LinksUpToDate>false</LinksUpToDate>
  <CharactersWithSpaces>10387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2025-05-26T03:45:00Z</dcterms:created>
  <dc:creator>Cody Benedict</dc:creator>
  <cp:lastModifiedBy>fy</cp:lastModifiedBy>
  <cp:lastPrinted>2020-07-08T01:38:00Z</cp:lastPrinted>
  <dcterms:modified xsi:type="dcterms:W3CDTF">2025-06-16T00:45:11Z</dcterms:modified>
  <cp:revision>138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0x0101001E7CA9B29A0EE34A937F104860C9C7B6</vt:lpwstr>
  </property>
  <property fmtid="{D5CDD505-2E9C-101B-9397-08002B2CF9AE}" pid="3" name="KSOProductBuildVer">
    <vt:lpwstr>2052-12.1.0.21541</vt:lpwstr>
  </property>
  <property fmtid="{D5CDD505-2E9C-101B-9397-08002B2CF9AE}" pid="4" name="ICV">
    <vt:lpwstr>8A77F317532C4969952452E7DEC9B183_13</vt:lpwstr>
  </property>
  <property fmtid="{D5CDD505-2E9C-101B-9397-08002B2CF9AE}" pid="5" name="KSOTemplateDocerSaveRecord">
    <vt:lpwstr>eyJoZGlkIjoiNmNlZjViNmM5ODk0NzM3OWUzZWU5YjAyYmQyMWIzMzUiLCJ1c2VySWQiOiIyODIzNzA1NzQifQ==</vt:lpwstr>
  </property>
</Properties>
</file>